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OF THE INTERIM CHAIRPERSON ON ALTERNATIVE</w:t>
        <w:br/>
        <w:t>SOURCES OF FUNDING THE AFRICAN UNION</w:t>
        <w:br/>
        <w:t>DOC. EX/CL/24(111)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40" w:line="264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40" w:line="230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DECIDES </w:t>
      </w:r>
      <w:r>
        <w:rPr>
          <w:color w:val="000000"/>
          <w:spacing w:val="0"/>
          <w:w w:val="100"/>
          <w:position w:val="0"/>
          <w:sz w:val="20"/>
          <w:szCs w:val="20"/>
        </w:rPr>
        <w:t>that the Report be transmitted to Member States for consideration by their competent departments;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40" w:line="240" w:lineRule="auto"/>
        <w:ind w:left="720" w:right="0" w:hanging="72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update as appropriate, the Study on Alternative Sources of Funding of the AU, taking into account the views expressed by Member States, and to convene a meeting of Experts of Member States to examine the Report and submit recommendations for consideration at the 4</w:t>
      </w:r>
      <w:r>
        <w:rPr>
          <w:color w:val="000000"/>
          <w:spacing w:val="0"/>
          <w:w w:val="100"/>
          <w:position w:val="0"/>
          <w:sz w:val="20"/>
          <w:szCs w:val="20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 ordinary session of the Executive Council on the Alternative Sources of Fun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</w:rPr>
        <w:t>din</w:t>
      </w:r>
      <w:r>
        <w:rPr>
          <w:color w:val="000000"/>
          <w:spacing w:val="0"/>
          <w:w w:val="100"/>
          <w:position w:val="0"/>
          <w:sz w:val="20"/>
          <w:szCs w:val="20"/>
        </w:rPr>
        <w:t>g of the Union.</w:t>
      </w:r>
    </w:p>
    <w:sectPr>
      <w:footnotePr>
        <w:pos w:val="pageBottom"/>
        <w:numFmt w:val="decimal"/>
        <w:numRestart w:val="continuous"/>
      </w:footnotePr>
      <w:pgSz w:w="12240" w:h="16834"/>
      <w:pgMar w:top="2183" w:right="1544" w:bottom="2183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