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OF THE INTERIM CHAIRPERSON ON THE DRAFT</w:t>
        <w:br/>
        <w:t>PROTOCOL TO THE AU CONVENTION ON THE PREVENTION AND COMBATING OF</w:t>
        <w:br/>
        <w:t>TERRORISM</w:t>
        <w:br/>
        <w:t>Doc. EX/CL/51 (III)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EXPRESSES APPRECIATION </w:t>
      </w:r>
      <w:r>
        <w:rPr>
          <w:color w:val="000000"/>
          <w:spacing w:val="0"/>
          <w:w w:val="100"/>
          <w:position w:val="0"/>
          <w:sz w:val="20"/>
          <w:szCs w:val="20"/>
        </w:rPr>
        <w:t>to the Commission for the steps taken to finalize the draft Protocol to the 1999 Algiers Convention on the Prevention and Combating of Terrorism;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220" w:line="240" w:lineRule="auto"/>
        <w:ind w:left="720" w:right="0" w:hanging="720"/>
        <w:jc w:val="left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draft Protocol as reviewed by the 92</w:t>
      </w:r>
      <w:r>
        <w:rPr>
          <w:color w:val="000000"/>
          <w:spacing w:val="0"/>
          <w:w w:val="100"/>
          <w:position w:val="0"/>
          <w:sz w:val="20"/>
          <w:szCs w:val="20"/>
          <w:vertAlign w:val="superscript"/>
        </w:rPr>
        <w:t>nd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 Ordinary Session at Ambassadorial Level of the Central Organ of the Mechanism for Conflict Prevention, Management and Resolution, held in Addis Ababa on 12</w:t>
      </w:r>
      <w:r>
        <w:rPr>
          <w:color w:val="000000"/>
          <w:spacing w:val="0"/>
          <w:w w:val="100"/>
          <w:position w:val="0"/>
          <w:sz w:val="20"/>
          <w:szCs w:val="20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 and 13</w:t>
      </w:r>
      <w:r>
        <w:rPr>
          <w:color w:val="000000"/>
          <w:spacing w:val="0"/>
          <w:w w:val="100"/>
          <w:position w:val="0"/>
          <w:sz w:val="20"/>
          <w:szCs w:val="20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 June 2003;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220" w:line="230" w:lineRule="auto"/>
        <w:ind w:left="720" w:right="0" w:hanging="720"/>
        <w:jc w:val="left"/>
        <w:rPr>
          <w:sz w:val="20"/>
          <w:szCs w:val="20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INVITES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finalize the draft Protocol and submit it to a Meeting of Experts of Member States, for subsequent submission to the policy organs of the Union.</w:t>
      </w:r>
    </w:p>
    <w:sectPr>
      <w:footnotePr>
        <w:pos w:val="pageBottom"/>
        <w:numFmt w:val="decimal"/>
        <w:numRestart w:val="continuous"/>
      </w:footnotePr>
      <w:pgSz w:w="12240" w:h="16834"/>
      <w:pgMar w:top="2160" w:right="1526" w:bottom="2160" w:left="15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