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STRUCTURE, HUMAN RESOURCES REQUIREMENTS AND</w:t>
        <w:br/>
        <w:t>CONDITIONS OF SERVICE FOR THE STAFF OF THE COMMISSION AND THEIR</w:t>
        <w:br/>
        <w:t>FINANCIAL IMPLICATIONS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Doc. EX/CL/39(111)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none"/>
        </w:rPr>
        <w:t>The Executive Council,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20" w:line="240" w:lineRule="auto"/>
        <w:ind w:left="0" w:right="0" w:firstLine="0"/>
        <w:jc w:val="both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 of the PRC,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20" w:line="264" w:lineRule="auto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u w:val="none"/>
        </w:rPr>
        <w:t>DECIDES: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6" w:val="left"/>
        </w:tabs>
        <w:bidi w:val="0"/>
        <w:spacing w:before="0" w:after="220" w:line="264" w:lineRule="auto"/>
        <w:ind w:left="0" w:right="0" w:firstLine="72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On the Structure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2" w:val="left"/>
        </w:tabs>
        <w:bidi w:val="0"/>
        <w:spacing w:before="0" w:after="220" w:line="240" w:lineRule="auto"/>
        <w:ind w:left="2160" w:right="0" w:hanging="720"/>
        <w:jc w:val="both"/>
        <w:rPr>
          <w:sz w:val="20"/>
          <w:szCs w:val="20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0"/>
          <w:szCs w:val="20"/>
        </w:rPr>
        <w:t>That the grading of the Heads of the AU Regional and Representational Offices be maintained as proposed by the PRC;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2" w:val="left"/>
        </w:tabs>
        <w:bidi w:val="0"/>
        <w:spacing w:before="0" w:after="220" w:line="240" w:lineRule="auto"/>
        <w:ind w:left="2160" w:right="0" w:hanging="720"/>
        <w:jc w:val="both"/>
        <w:rPr>
          <w:sz w:val="20"/>
          <w:szCs w:val="20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0"/>
          <w:szCs w:val="20"/>
        </w:rPr>
        <w:t>That the integration of the NEPAD Secretariat into the AU Commission should be gradual with a Coordinating Unit of not more than five (5) staff and should commence after the Maputo Summit with a possible duration of three (3) years or until the AU Structures are fully operational or whichever comes first;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2" w:val="left"/>
        </w:tabs>
        <w:bidi w:val="0"/>
        <w:spacing w:before="0" w:after="220" w:line="240" w:lineRule="auto"/>
        <w:ind w:left="2160" w:right="0" w:hanging="720"/>
        <w:jc w:val="both"/>
        <w:rPr>
          <w:sz w:val="20"/>
          <w:szCs w:val="20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0"/>
          <w:szCs w:val="20"/>
        </w:rPr>
        <w:t>That an Information Officer at grade P2 level be added to the staff complement of the AU Lilongwe office;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2" w:val="left"/>
        </w:tabs>
        <w:bidi w:val="0"/>
        <w:spacing w:before="0" w:after="220" w:line="230" w:lineRule="auto"/>
        <w:ind w:left="2160" w:right="0" w:hanging="720"/>
        <w:jc w:val="both"/>
        <w:rPr>
          <w:sz w:val="20"/>
          <w:szCs w:val="20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0"/>
          <w:szCs w:val="20"/>
        </w:rPr>
        <w:t>That a cultural/information officer at grade P2 be added to the staff complement of the AU Cairo office;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2" w:val="left"/>
        </w:tabs>
        <w:bidi w:val="0"/>
        <w:spacing w:before="0" w:after="220" w:line="240" w:lineRule="auto"/>
        <w:ind w:left="2160" w:right="0" w:hanging="720"/>
        <w:jc w:val="both"/>
        <w:rPr>
          <w:sz w:val="20"/>
          <w:szCs w:val="20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0"/>
          <w:szCs w:val="20"/>
        </w:rPr>
        <w:t>That the recommendation for a Steering Committee for the IBAR office should apply to all the Scientific and Technical Offices with the understanding that Donors and other Partners will cover the expense of their participation;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2" w:val="left"/>
        </w:tabs>
        <w:bidi w:val="0"/>
        <w:spacing w:before="0" w:after="220" w:line="240" w:lineRule="auto"/>
        <w:ind w:left="2160" w:right="0" w:hanging="720"/>
        <w:jc w:val="both"/>
        <w:rPr>
          <w:sz w:val="20"/>
          <w:szCs w:val="20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0"/>
          <w:szCs w:val="20"/>
        </w:rPr>
        <w:t>That the grade of the PATTEC Coordinator be raised to P4 and that of the Assistant Coordinator be maintained at P2;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52" w:val="left"/>
        </w:tabs>
        <w:bidi w:val="0"/>
        <w:spacing w:before="0" w:after="220" w:line="240" w:lineRule="auto"/>
        <w:ind w:left="2160" w:right="0" w:hanging="720"/>
        <w:jc w:val="both"/>
        <w:rPr>
          <w:sz w:val="20"/>
          <w:szCs w:val="20"/>
        </w:rPr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0"/>
          <w:szCs w:val="20"/>
        </w:rPr>
        <w:t>That the Commission, in collaboration with the PRC, should undertake a review of the Regional and Representational Offices with the view to providing them with adequate personnel;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95" w:val="left"/>
        </w:tabs>
        <w:bidi w:val="0"/>
        <w:spacing w:before="0" w:after="220" w:line="264" w:lineRule="auto"/>
        <w:ind w:left="0" w:right="0" w:firstLine="72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On the Salary Scale/Structure and other Conditions of Service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152" w:val="left"/>
        </w:tabs>
        <w:bidi w:val="0"/>
        <w:spacing w:before="0" w:after="220" w:line="240" w:lineRule="auto"/>
        <w:ind w:left="2160" w:right="0" w:hanging="720"/>
        <w:jc w:val="both"/>
        <w:rPr>
          <w:sz w:val="20"/>
          <w:szCs w:val="20"/>
        </w:rPr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0"/>
          <w:szCs w:val="20"/>
        </w:rPr>
        <w:t>To adopt the SADC Salary Scale with ten (10) steps in all its grades and with an annual increment for the Professional Staff;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152" w:val="left"/>
        </w:tabs>
        <w:bidi w:val="0"/>
        <w:spacing w:before="0" w:after="220" w:line="240" w:lineRule="auto"/>
        <w:ind w:left="1440" w:right="0" w:firstLine="0"/>
        <w:jc w:val="both"/>
        <w:rPr>
          <w:sz w:val="20"/>
          <w:szCs w:val="20"/>
        </w:rPr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0"/>
          <w:szCs w:val="20"/>
        </w:rPr>
        <w:t>To adopt for the Members of the Commission, salary scale as follows: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37" w:val="left"/>
        </w:tabs>
        <w:bidi w:val="0"/>
        <w:spacing w:before="0" w:after="220" w:line="240" w:lineRule="auto"/>
        <w:ind w:left="3420" w:right="0" w:hanging="340"/>
        <w:jc w:val="both"/>
        <w:rPr>
          <w:sz w:val="20"/>
          <w:szCs w:val="20"/>
        </w:rPr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Commissioners: </w:t>
      </w:r>
      <w:r>
        <w:rPr>
          <w:color w:val="000000"/>
          <w:spacing w:val="0"/>
          <w:w w:val="100"/>
          <w:position w:val="0"/>
          <w:sz w:val="20"/>
          <w:szCs w:val="20"/>
        </w:rPr>
        <w:t>Grade DI step 10 of the SADC model with an addition of fifteen percent (15%);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37" w:val="left"/>
        </w:tabs>
        <w:bidi w:val="0"/>
        <w:spacing w:before="0" w:after="220" w:line="233" w:lineRule="auto"/>
        <w:ind w:left="3420" w:right="0" w:hanging="340"/>
        <w:jc w:val="both"/>
        <w:rPr>
          <w:sz w:val="20"/>
          <w:szCs w:val="20"/>
        </w:rPr>
      </w:pPr>
      <w:bookmarkStart w:id="14" w:name="bookmark14"/>
      <w:bookmarkEnd w:id="14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Deputy Chairperson: </w:t>
      </w:r>
      <w:r>
        <w:rPr>
          <w:color w:val="000000"/>
          <w:spacing w:val="0"/>
          <w:w w:val="100"/>
          <w:position w:val="0"/>
          <w:sz w:val="20"/>
          <w:szCs w:val="20"/>
        </w:rPr>
        <w:t>Grade DI step 10 of the SADC model with an addition of thirty-two and a half percent (32.50%);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37" w:val="left"/>
        </w:tabs>
        <w:bidi w:val="0"/>
        <w:spacing w:before="0" w:after="220" w:line="230" w:lineRule="auto"/>
        <w:ind w:left="3420" w:right="0" w:hanging="340"/>
        <w:jc w:val="both"/>
        <w:rPr>
          <w:sz w:val="20"/>
          <w:szCs w:val="20"/>
        </w:rPr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Chairperson: </w:t>
      </w:r>
      <w:r>
        <w:rPr>
          <w:color w:val="000000"/>
          <w:spacing w:val="0"/>
          <w:w w:val="100"/>
          <w:position w:val="0"/>
          <w:sz w:val="20"/>
          <w:szCs w:val="20"/>
        </w:rPr>
        <w:t>Grade DI step 10 of the SADC model with an addition of fifty percent (50%).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218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To adopt for the Commission, the SADC Daily Subsistence Allowance rate (DSA) as follows: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7" w:val="left"/>
        </w:tabs>
        <w:bidi w:val="0"/>
        <w:spacing w:before="0" w:after="220" w:line="264" w:lineRule="auto"/>
        <w:ind w:left="3280" w:right="0" w:firstLine="0"/>
        <w:jc w:val="left"/>
        <w:rPr>
          <w:sz w:val="20"/>
          <w:szCs w:val="20"/>
        </w:rPr>
      </w:pPr>
      <w:bookmarkStart w:id="16" w:name="bookmark16"/>
      <w:bookmarkEnd w:id="16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Chairperson: </w:t>
      </w:r>
      <w:r>
        <w:rPr>
          <w:color w:val="000000"/>
          <w:spacing w:val="0"/>
          <w:w w:val="100"/>
          <w:position w:val="0"/>
          <w:sz w:val="20"/>
          <w:szCs w:val="20"/>
        </w:rPr>
        <w:t>SADC DSA rate (i.e. UN DSA) PLUS 40%;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7" w:val="left"/>
        </w:tabs>
        <w:bidi w:val="0"/>
        <w:spacing w:before="0" w:after="280" w:line="240" w:lineRule="auto"/>
        <w:ind w:left="3620" w:right="0" w:hanging="340"/>
        <w:jc w:val="both"/>
        <w:rPr>
          <w:sz w:val="20"/>
          <w:szCs w:val="20"/>
        </w:rPr>
      </w:pPr>
      <w:bookmarkStart w:id="17" w:name="bookmark17"/>
      <w:bookmarkEnd w:id="17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Deputy Chairperson: </w:t>
      </w:r>
      <w:r>
        <w:rPr>
          <w:color w:val="000000"/>
          <w:spacing w:val="0"/>
          <w:w w:val="100"/>
          <w:position w:val="0"/>
          <w:sz w:val="20"/>
          <w:szCs w:val="20"/>
        </w:rPr>
        <w:t>SADC DSA rate (i.e. UN DSA) plus 30%;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7" w:val="left"/>
        </w:tabs>
        <w:bidi w:val="0"/>
        <w:spacing w:before="0" w:after="220" w:line="266" w:lineRule="auto"/>
        <w:ind w:left="3620" w:right="0" w:hanging="340"/>
        <w:jc w:val="both"/>
        <w:rPr>
          <w:sz w:val="20"/>
          <w:szCs w:val="20"/>
        </w:rPr>
      </w:pPr>
      <w:bookmarkStart w:id="18" w:name="bookmark18"/>
      <w:bookmarkEnd w:id="18"/>
      <w:r>
        <w:rPr>
          <w:color w:val="000000"/>
          <w:spacing w:val="0"/>
          <w:w w:val="100"/>
          <w:position w:val="0"/>
          <w:sz w:val="18"/>
          <w:szCs w:val="18"/>
          <w:u w:val="none"/>
        </w:rPr>
        <w:t xml:space="preserve">Commissioners and all other staff of the Commission: </w:t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SADC DSA rate (i.e. UN DSA) plus 20%.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218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To adopt the principle of a regular review of the salary scale for Members of the Commission and all other categories of staff of the Commission with a frequency of every five (5) years.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8" w:val="left"/>
        </w:tabs>
        <w:bidi w:val="0"/>
        <w:spacing w:before="0" w:after="220" w:line="262" w:lineRule="auto"/>
        <w:ind w:left="0" w:right="0" w:firstLine="74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On the AU Quota System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72" w:val="left"/>
        </w:tabs>
        <w:bidi w:val="0"/>
        <w:spacing w:before="0" w:after="220" w:line="240" w:lineRule="auto"/>
        <w:ind w:left="2180" w:right="0" w:hanging="720"/>
        <w:jc w:val="both"/>
        <w:rPr>
          <w:sz w:val="20"/>
          <w:szCs w:val="20"/>
        </w:rPr>
      </w:pPr>
      <w:bookmarkStart w:id="20" w:name="bookmark20"/>
      <w:bookmarkEnd w:id="20"/>
      <w:r>
        <w:rPr>
          <w:color w:val="000000"/>
          <w:spacing w:val="0"/>
          <w:w w:val="100"/>
          <w:position w:val="0"/>
          <w:sz w:val="20"/>
          <w:szCs w:val="20"/>
        </w:rPr>
        <w:t xml:space="preserve">To adopt the principle of allocating to each Member State a </w:t>
      </w:r>
      <w:r>
        <w:rPr>
          <w:color w:val="000000"/>
          <w:spacing w:val="0"/>
          <w:w w:val="100"/>
          <w:position w:val="0"/>
          <w:sz w:val="20"/>
          <w:szCs w:val="20"/>
          <w:u w:val="single"/>
        </w:rPr>
        <w:t xml:space="preserve">minimum </w:t>
      </w:r>
      <w:r>
        <w:rPr>
          <w:color w:val="000000"/>
          <w:spacing w:val="0"/>
          <w:w w:val="100"/>
          <w:position w:val="0"/>
          <w:sz w:val="20"/>
          <w:szCs w:val="20"/>
        </w:rPr>
        <w:t>number of four (4) staff on quota and the remaining number of post be distributed on the basis of assessed contribution of each Member State;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72" w:val="left"/>
        </w:tabs>
        <w:bidi w:val="0"/>
        <w:spacing w:before="0" w:after="220" w:line="240" w:lineRule="auto"/>
        <w:ind w:left="2180" w:right="0" w:hanging="720"/>
        <w:jc w:val="both"/>
        <w:rPr>
          <w:sz w:val="20"/>
          <w:szCs w:val="20"/>
        </w:rPr>
      </w:pPr>
      <w:bookmarkStart w:id="21" w:name="bookmark21"/>
      <w:bookmarkEnd w:id="21"/>
      <w:r>
        <w:rPr>
          <w:color w:val="000000"/>
          <w:spacing w:val="0"/>
          <w:w w:val="100"/>
          <w:position w:val="0"/>
          <w:sz w:val="20"/>
          <w:szCs w:val="20"/>
        </w:rPr>
        <w:t>That the Elected Officials and Staff on special appointments as well as the General Service Category Staff be excluded from the Quota.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8" w:val="left"/>
        </w:tabs>
        <w:bidi w:val="0"/>
        <w:spacing w:before="0" w:after="220" w:line="262" w:lineRule="auto"/>
        <w:ind w:left="0" w:right="0" w:firstLine="74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On Recruitment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172" w:val="left"/>
        </w:tabs>
        <w:bidi w:val="0"/>
        <w:spacing w:before="0" w:after="220" w:line="240" w:lineRule="auto"/>
        <w:ind w:left="2180" w:right="0" w:hanging="720"/>
        <w:jc w:val="both"/>
        <w:rPr>
          <w:sz w:val="20"/>
          <w:szCs w:val="20"/>
        </w:rPr>
      </w:pPr>
      <w:bookmarkStart w:id="23" w:name="bookmark23"/>
      <w:bookmarkEnd w:id="23"/>
      <w:r>
        <w:rPr>
          <w:color w:val="000000"/>
          <w:spacing w:val="0"/>
          <w:w w:val="100"/>
          <w:position w:val="0"/>
          <w:sz w:val="20"/>
          <w:szCs w:val="20"/>
        </w:rPr>
        <w:t>That recruitment for posts within Grade GSA 4 and above be opened to all nationals of Member States for both international and local recruitment;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172" w:val="left"/>
        </w:tabs>
        <w:bidi w:val="0"/>
        <w:spacing w:before="0" w:after="220" w:line="230" w:lineRule="auto"/>
        <w:ind w:left="2180" w:right="0" w:hanging="720"/>
        <w:jc w:val="both"/>
        <w:rPr>
          <w:sz w:val="20"/>
          <w:szCs w:val="20"/>
        </w:rPr>
      </w:pPr>
      <w:bookmarkStart w:id="24" w:name="bookmark24"/>
      <w:bookmarkEnd w:id="24"/>
      <w:r>
        <w:rPr>
          <w:color w:val="000000"/>
          <w:spacing w:val="0"/>
          <w:w w:val="100"/>
          <w:position w:val="0"/>
          <w:sz w:val="20"/>
          <w:szCs w:val="20"/>
        </w:rPr>
        <w:t>That posts below GSA 4 be opened to all nationals of Member States but recruitment be strictly on local terms.</w:t>
      </w:r>
    </w:p>
    <w:sectPr>
      <w:footnotePr>
        <w:pos w:val="pageBottom"/>
        <w:numFmt w:val="decimal"/>
        <w:numRestart w:val="continuous"/>
      </w:footnotePr>
      <w:pgSz w:w="12240" w:h="16834"/>
      <w:pgMar w:top="1690" w:right="1274" w:bottom="1680" w:left="147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upperLetter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