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9" w:lineRule="auto"/>
        <w:ind w:left="0" w:right="0" w:firstLine="0"/>
        <w:jc w:val="center"/>
      </w:pPr>
      <w:r>
        <w:rPr>
          <w:color w:val="000000"/>
          <w:spacing w:val="0"/>
          <w:w w:val="100"/>
          <w:position w:val="0"/>
        </w:rPr>
        <w:t>DECISION ON THE CONFERENCE OF AFRICAN MINISTERS OF TRADE</w:t>
      </w:r>
    </w:p>
    <w:p>
      <w:pPr>
        <w:pStyle w:val="Style2"/>
        <w:keepNext w:val="0"/>
        <w:keepLines w:val="0"/>
        <w:widowControl w:val="0"/>
        <w:shd w:val="clear" w:color="auto" w:fill="auto"/>
        <w:bidi w:val="0"/>
        <w:spacing w:before="0" w:after="460" w:line="269" w:lineRule="auto"/>
        <w:ind w:left="0" w:right="0" w:firstLine="0"/>
        <w:jc w:val="center"/>
      </w:pPr>
      <w:r>
        <w:rPr>
          <w:color w:val="000000"/>
          <w:spacing w:val="0"/>
          <w:w w:val="100"/>
          <w:position w:val="0"/>
        </w:rPr>
        <w:t>DOC. EX/CL/53 (III)</w:t>
      </w:r>
    </w:p>
    <w:p>
      <w:pPr>
        <w:pStyle w:val="Style2"/>
        <w:keepNext w:val="0"/>
        <w:keepLines w:val="0"/>
        <w:widowControl w:val="0"/>
        <w:shd w:val="clear" w:color="auto" w:fill="auto"/>
        <w:bidi w:val="0"/>
        <w:spacing w:before="0" w:after="220" w:line="269"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2" w:val="left"/>
        </w:tabs>
        <w:bidi w:val="0"/>
        <w:spacing w:before="0" w:after="220" w:line="240" w:lineRule="auto"/>
        <w:ind w:left="0" w:right="0" w:firstLine="0"/>
        <w:jc w:val="left"/>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w:t>
      </w:r>
    </w:p>
    <w:p>
      <w:pPr>
        <w:pStyle w:val="Style5"/>
        <w:keepNext w:val="0"/>
        <w:keepLines w:val="0"/>
        <w:widowControl w:val="0"/>
        <w:numPr>
          <w:ilvl w:val="0"/>
          <w:numId w:val="1"/>
        </w:numPr>
        <w:shd w:val="clear" w:color="auto" w:fill="auto"/>
        <w:tabs>
          <w:tab w:pos="712" w:val="left"/>
        </w:tabs>
        <w:bidi w:val="0"/>
        <w:spacing w:before="0" w:after="22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CONGRATULATES </w:t>
      </w:r>
      <w:r>
        <w:rPr>
          <w:color w:val="000000"/>
          <w:spacing w:val="0"/>
          <w:w w:val="100"/>
          <w:position w:val="0"/>
          <w:sz w:val="20"/>
          <w:szCs w:val="20"/>
        </w:rPr>
        <w:t>Mauritius and all Member States on the successful outcome of the First Session of the Ministerial Sub-Committee on Trade, under the Specialized Technical Committee on Trade, Customs and Immigration;</w:t>
      </w:r>
    </w:p>
    <w:p>
      <w:pPr>
        <w:pStyle w:val="Style5"/>
        <w:keepNext w:val="0"/>
        <w:keepLines w:val="0"/>
        <w:widowControl w:val="0"/>
        <w:numPr>
          <w:ilvl w:val="0"/>
          <w:numId w:val="1"/>
        </w:numPr>
        <w:shd w:val="clear" w:color="auto" w:fill="auto"/>
        <w:tabs>
          <w:tab w:pos="712" w:val="left"/>
        </w:tabs>
        <w:bidi w:val="0"/>
        <w:spacing w:before="0" w:after="22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ENDORSES </w:t>
      </w:r>
      <w:r>
        <w:rPr>
          <w:color w:val="000000"/>
          <w:spacing w:val="0"/>
          <w:w w:val="100"/>
          <w:position w:val="0"/>
          <w:sz w:val="20"/>
          <w:szCs w:val="20"/>
        </w:rPr>
        <w:t>the Decisions of the AU Ministers of Trade contained in the Report, Doc. AU/TD/MIN/Rpt (I);</w:t>
      </w:r>
    </w:p>
    <w:p>
      <w:pPr>
        <w:pStyle w:val="Style5"/>
        <w:keepNext w:val="0"/>
        <w:keepLines w:val="0"/>
        <w:widowControl w:val="0"/>
        <w:numPr>
          <w:ilvl w:val="0"/>
          <w:numId w:val="1"/>
        </w:numPr>
        <w:shd w:val="clear" w:color="auto" w:fill="auto"/>
        <w:tabs>
          <w:tab w:pos="712" w:val="left"/>
        </w:tabs>
        <w:bidi w:val="0"/>
        <w:spacing w:before="0" w:after="22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REQUESTS </w:t>
      </w:r>
      <w:r>
        <w:rPr>
          <w:color w:val="000000"/>
          <w:spacing w:val="0"/>
          <w:w w:val="100"/>
          <w:position w:val="0"/>
          <w:sz w:val="20"/>
          <w:szCs w:val="20"/>
        </w:rPr>
        <w:t>the Commission of the African Union to take the necessary measures and actions, in collaboration with the RECs and relevant institutions, to implement the Decision and report periodically to the Executive Council;</w:t>
      </w:r>
    </w:p>
    <w:p>
      <w:pPr>
        <w:pStyle w:val="Style5"/>
        <w:keepNext w:val="0"/>
        <w:keepLines w:val="0"/>
        <w:widowControl w:val="0"/>
        <w:numPr>
          <w:ilvl w:val="0"/>
          <w:numId w:val="1"/>
        </w:numPr>
        <w:shd w:val="clear" w:color="auto" w:fill="auto"/>
        <w:tabs>
          <w:tab w:pos="712" w:val="left"/>
        </w:tabs>
        <w:bidi w:val="0"/>
        <w:spacing w:before="0" w:after="22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EXPRESSES GRATITUDE </w:t>
      </w:r>
      <w:r>
        <w:rPr>
          <w:color w:val="000000"/>
          <w:spacing w:val="0"/>
          <w:w w:val="100"/>
          <w:position w:val="0"/>
          <w:sz w:val="20"/>
          <w:szCs w:val="20"/>
        </w:rPr>
        <w:t>to all development partners, particularly the UNDP, the EU, ACBF and the Swedish Agency for International Development Cooperation (SIDA-Sweden) as well as UN-ECA and appeals to them to continue to provide technical and financial support to the work of the Commission in the implementation of the decisions of the AU Ministers of Trade.</w:t>
      </w:r>
    </w:p>
    <w:sectPr>
      <w:footnotePr>
        <w:pos w:val="pageBottom"/>
        <w:numFmt w:val="decimal"/>
        <w:numRestart w:val="continuous"/>
      </w:footnotePr>
      <w:pgSz w:w="12240" w:h="16834"/>
      <w:pgMar w:top="2043" w:right="1534" w:bottom="2043" w:left="154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