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6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LAUNCHING OF</w:t>
        <w:br/>
        <w:t>THE SPECIALIZED TECHNICAL COMMITTEES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Progress Report on the launch of the Specialized Technical Committees as contained in the Introductory Note of the Interim Chairperson of the Commission;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WELCOMES </w:t>
      </w:r>
      <w:r>
        <w:rPr>
          <w:color w:val="000000"/>
          <w:spacing w:val="0"/>
          <w:w w:val="100"/>
          <w:position w:val="0"/>
          <w:sz w:val="20"/>
          <w:szCs w:val="20"/>
        </w:rPr>
        <w:t>the initiative taken by the Commission to launch the Specialized Technical Committees;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deepen the study undertaken and to submit same to Member States and the various concerned African Ministerial Sectoral Conferences;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Permanent Representatives’ Committee to submit a report thereon at the next ordinary session.</w:t>
      </w:r>
    </w:p>
    <w:sectPr>
      <w:footnotePr>
        <w:pos w:val="pageBottom"/>
        <w:numFmt w:val="decimal"/>
        <w:numRestart w:val="continuous"/>
      </w:footnotePr>
      <w:pgSz w:w="12240" w:h="16834"/>
      <w:pgMar w:top="2169" w:right="1539" w:bottom="2169" w:left="15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