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460" w:line="276" w:lineRule="auto"/>
        <w:ind w:left="0" w:right="0" w:firstLine="0"/>
        <w:jc w:val="center"/>
      </w:pPr>
      <w:r>
        <w:rPr>
          <w:color w:val="000000"/>
          <w:spacing w:val="0"/>
          <w:w w:val="100"/>
          <w:position w:val="0"/>
        </w:rPr>
        <w:t>DECISION ON THE AMENDMENT TO RULE 12, PARAGRAPH 2, OF THE RULES OF</w:t>
        <w:br/>
        <w:t>PROCEDURE OF THE MINISTERIAL COMMITTEE ON CANDIDATURES</w:t>
      </w:r>
    </w:p>
    <w:p>
      <w:pPr>
        <w:pStyle w:val="Style2"/>
        <w:keepNext w:val="0"/>
        <w:keepLines w:val="0"/>
        <w:widowControl w:val="0"/>
        <w:shd w:val="clear" w:color="auto" w:fill="auto"/>
        <w:bidi w:val="0"/>
        <w:spacing w:before="0" w:after="220" w:line="264" w:lineRule="auto"/>
        <w:ind w:left="0" w:right="0" w:firstLine="0"/>
        <w:jc w:val="both"/>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696" w:val="left"/>
        </w:tabs>
        <w:bidi w:val="0"/>
        <w:spacing w:before="0" w:after="220" w:line="240" w:lineRule="auto"/>
        <w:ind w:left="700" w:right="0" w:hanging="700"/>
        <w:jc w:val="both"/>
        <w:rPr>
          <w:sz w:val="20"/>
          <w:szCs w:val="20"/>
        </w:rPr>
      </w:pPr>
      <w:bookmarkStart w:id="0" w:name="bookmark0"/>
      <w:bookmarkEnd w:id="0"/>
      <w:r>
        <w:rPr>
          <w:b/>
          <w:bCs/>
          <w:color w:val="000000"/>
          <w:spacing w:val="0"/>
          <w:w w:val="100"/>
          <w:position w:val="0"/>
          <w:sz w:val="18"/>
          <w:szCs w:val="18"/>
        </w:rPr>
        <w:t xml:space="preserve">RECALLS </w:t>
      </w:r>
      <w:r>
        <w:rPr>
          <w:color w:val="000000"/>
          <w:spacing w:val="0"/>
          <w:w w:val="100"/>
          <w:position w:val="0"/>
          <w:sz w:val="20"/>
          <w:szCs w:val="20"/>
        </w:rPr>
        <w:t>Decision EX/CL/Dec. 18(11) adopted in N’Djamena, Chad, in March 2003, on African Candidatures for posts within the International System, which in paragraph 8 directed the Permanent Representatives’ Committee (PRC) to e</w:t>
      </w:r>
      <w:r>
        <w:rPr>
          <w:color w:val="000000"/>
          <w:spacing w:val="0"/>
          <w:w w:val="100"/>
          <w:position w:val="0"/>
          <w:sz w:val="20"/>
          <w:szCs w:val="20"/>
          <w:u w:val="single"/>
        </w:rPr>
        <w:t>xamin</w:t>
      </w:r>
      <w:r>
        <w:rPr>
          <w:color w:val="000000"/>
          <w:spacing w:val="0"/>
          <w:w w:val="100"/>
          <w:position w:val="0"/>
          <w:sz w:val="20"/>
          <w:szCs w:val="20"/>
        </w:rPr>
        <w:t>e the proposed amendment to Rule 12 of the Rules of Procedure of the Co</w:t>
      </w:r>
      <w:r>
        <w:rPr>
          <w:color w:val="000000"/>
          <w:spacing w:val="0"/>
          <w:w w:val="100"/>
          <w:position w:val="0"/>
          <w:sz w:val="20"/>
          <w:szCs w:val="20"/>
          <w:u w:val="single"/>
        </w:rPr>
        <w:t>mmi</w:t>
      </w:r>
      <w:r>
        <w:rPr>
          <w:color w:val="000000"/>
          <w:spacing w:val="0"/>
          <w:w w:val="100"/>
          <w:position w:val="0"/>
          <w:sz w:val="20"/>
          <w:szCs w:val="20"/>
        </w:rPr>
        <w:t>ttee;</w:t>
      </w:r>
    </w:p>
    <w:p>
      <w:pPr>
        <w:pStyle w:val="Style5"/>
        <w:keepNext w:val="0"/>
        <w:keepLines w:val="0"/>
        <w:widowControl w:val="0"/>
        <w:numPr>
          <w:ilvl w:val="0"/>
          <w:numId w:val="1"/>
        </w:numPr>
        <w:shd w:val="clear" w:color="auto" w:fill="auto"/>
        <w:tabs>
          <w:tab w:pos="696" w:val="left"/>
        </w:tabs>
        <w:bidi w:val="0"/>
        <w:spacing w:before="0" w:after="220" w:line="240" w:lineRule="auto"/>
        <w:ind w:left="700" w:right="0" w:hanging="700"/>
        <w:jc w:val="both"/>
        <w:rPr>
          <w:sz w:val="20"/>
          <w:szCs w:val="20"/>
        </w:rPr>
      </w:pPr>
      <w:bookmarkStart w:id="1" w:name="bookmark1"/>
      <w:bookmarkEnd w:id="1"/>
      <w:r>
        <w:rPr>
          <w:b/>
          <w:bCs/>
          <w:color w:val="000000"/>
          <w:spacing w:val="0"/>
          <w:w w:val="100"/>
          <w:position w:val="0"/>
          <w:sz w:val="18"/>
          <w:szCs w:val="18"/>
        </w:rPr>
        <w:t xml:space="preserve">DECIDES </w:t>
      </w:r>
      <w:r>
        <w:rPr>
          <w:color w:val="000000"/>
          <w:spacing w:val="0"/>
          <w:w w:val="100"/>
          <w:position w:val="0"/>
          <w:sz w:val="20"/>
          <w:szCs w:val="20"/>
        </w:rPr>
        <w:t>to amend Rule 12, paragraph 2, of the Rules of Procedure of the Ministerial Committee on Candidatures as follows:</w:t>
      </w:r>
    </w:p>
    <w:p>
      <w:pPr>
        <w:pStyle w:val="Style5"/>
        <w:keepNext w:val="0"/>
        <w:keepLines w:val="0"/>
        <w:widowControl w:val="0"/>
        <w:shd w:val="clear" w:color="auto" w:fill="auto"/>
        <w:bidi w:val="0"/>
        <w:spacing w:before="0" w:after="220" w:line="240" w:lineRule="auto"/>
        <w:ind w:left="700" w:right="0" w:firstLine="20"/>
        <w:jc w:val="both"/>
        <w:rPr>
          <w:sz w:val="20"/>
          <w:szCs w:val="20"/>
        </w:rPr>
      </w:pPr>
      <w:r>
        <w:rPr>
          <w:color w:val="000000"/>
          <w:spacing w:val="0"/>
          <w:w w:val="100"/>
          <w:position w:val="0"/>
          <w:sz w:val="20"/>
          <w:szCs w:val="20"/>
        </w:rPr>
        <w:t>“The candidatures shall be transmitted to the Commission of the African Union not later than two (2) months prior to the Executive Council Session at which the said candidatures shall be considered”.</w:t>
      </w:r>
    </w:p>
    <w:sectPr>
      <w:footnotePr>
        <w:pos w:val="pageBottom"/>
        <w:numFmt w:val="decimal"/>
        <w:numRestart w:val="continuous"/>
      </w:footnotePr>
      <w:pgSz w:w="12240" w:h="16834"/>
      <w:pgMar w:top="1963" w:right="1536" w:bottom="1963" w:left="15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