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260" w:after="0" w:line="257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PLAN OF ACTION ON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  <w:u w:val="single"/>
        </w:rPr>
        <w:t>THE FAMILY IN AFRICA</w:t>
      </w:r>
      <w:bookmarkEnd w:id="0"/>
      <w:bookmarkEnd w:id="1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u w:val="single"/>
        </w:rPr>
        <w:t>DOC. EX.CL/115 (V)</w:t>
      </w:r>
      <w:bookmarkEnd w:id="4"/>
      <w:bookmarkEnd w:id="5"/>
      <w:bookmarkEnd w:id="6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both"/>
      </w:pPr>
      <w:bookmarkStart w:id="4" w:name="bookmark4"/>
      <w:bookmarkStart w:id="5" w:name="bookmark5"/>
      <w:bookmarkStart w:id="7" w:name="bookmark7"/>
      <w:r>
        <w:rPr>
          <w:color w:val="000000"/>
          <w:spacing w:val="0"/>
          <w:w w:val="100"/>
          <w:position w:val="0"/>
        </w:rPr>
        <w:t>The Executive Council:</w:t>
      </w:r>
      <w:bookmarkEnd w:id="4"/>
      <w:bookmarkEnd w:id="5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ENDORSES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Plan of Action on the Family in Africa as adopted by the Second Session of the AU Labour and Social Affairs Commission;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EXPRESSES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its appreciation to all cooperating partners for their invaluable contributions in the drafting of the Plan of Action;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SUPPORTS AND COMMENDS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the Government of the Republic of Benin for the efforts to organize the launching of the Plan of Action in Cotonou, Benin on 27 and 28 July 2004 and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INVITES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to participate actively in the launching ceremony as well as in the World Summit on the Family;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MANDATES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Government of Benin to present the Plan of Action to the 59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Session of the United Nations General Assembly as Africa’s contribution to the Tenth Anniversary of the International Year of the Family;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that the Plan of Action be adopted as Africa’s Common Position to the World Summit on the Family to be held in China in December 2004;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to draw up a mechanism for follow-up and monitoring of the implementation of the Plan of Action;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ALSO 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to use the Plan of Action when formulating programmes for the family and submit progress reports on the status of implementation to AU Commission;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Chairperson of the Commission to submit a biennial progress report to the Executive Council on the implementation of the Plan of Action.</w:t>
      </w:r>
    </w:p>
    <w:sectPr>
      <w:footnotePr>
        <w:pos w:val="pageBottom"/>
        <w:numFmt w:val="decimal"/>
        <w:numRestart w:val="continuous"/>
      </w:footnotePr>
      <w:pgSz w:w="12240" w:h="16834"/>
      <w:pgMar w:top="2260" w:right="1351" w:bottom="3581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