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FOLLOW-UP ON AFRICA-EUROPE SUMMIT</w:t>
        <w:br/>
        <w:t>DOC. EX.CL/127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62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300" w:line="240" w:lineRule="auto"/>
        <w:ind w:left="1440" w:right="0" w:hanging="700"/>
        <w:jc w:val="both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recommendations of the Chairperson of the Commission;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300" w:line="240" w:lineRule="auto"/>
        <w:ind w:left="1440" w:right="0" w:hanging="700"/>
        <w:jc w:val="both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Member States of the African Troika in coordination with the AU Follow-up Committee and the Commission to continue at all the levels provided for by the follow</w:t>
        <w:softHyphen/>
        <w:t>up mechanism, the Africa-Europe dialogue on the basis of the Cairo Declaration and the Cairo Plan of Action and explore with the European side how best to convene the second Africa-Europe Summit in 2005;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after="300" w:line="240" w:lineRule="auto"/>
        <w:ind w:left="1440" w:right="0" w:hanging="700"/>
        <w:jc w:val="both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initiate talks with its EU counterpart on modalities for effective implementation of consensual decisions taken by the two parties.</w:t>
      </w:r>
    </w:p>
    <w:sectPr>
      <w:footnotePr>
        <w:pos w:val="pageBottom"/>
        <w:numFmt w:val="decimal"/>
        <w:numRestart w:val="continuous"/>
      </w:footnotePr>
      <w:pgSz w:w="12240" w:h="16834"/>
      <w:pgMar w:top="2776" w:right="1352" w:bottom="2776" w:left="13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