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FOLLOW-UP ON THE TICAD INITIATIVE</w:t>
        <w:br/>
        <w:t>DOC. EX.CL/127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80" w:line="254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300" w:line="216" w:lineRule="auto"/>
        <w:ind w:left="1440" w:right="0" w:hanging="70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Chairperson of the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240" w:line="240" w:lineRule="auto"/>
        <w:ind w:left="1440" w:right="0" w:hanging="70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with the role of interface between Member States and Japan, with the aim of ensuring better coordination and higher visibility in the implementation of TICAD;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300" w:line="233" w:lineRule="auto"/>
        <w:ind w:left="0" w:right="0" w:firstLine="72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33" w:lineRule="auto"/>
        <w:ind w:left="2160" w:right="0" w:hanging="7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i) Negotiate with the Japanese authorities with a view to securing their contribution in the implementation of the integrating projects;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33" w:lineRule="auto"/>
        <w:ind w:left="2160" w:right="0" w:hanging="7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ii) Undertake negotiations with Japanese authorities on the convening of TICAD Summit, on a rotational basis, in Africa and Asia.</w:t>
      </w:r>
    </w:p>
    <w:sectPr>
      <w:footnotePr>
        <w:pos w:val="pageBottom"/>
        <w:numFmt w:val="decimal"/>
        <w:numRestart w:val="continuous"/>
      </w:footnotePr>
      <w:pgSz w:w="12240" w:h="16834"/>
      <w:pgMar w:top="2786" w:right="1366" w:bottom="2786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