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RELATIONS BETWEEN THE AFRICAN</w:t>
        <w:br/>
        <w:t>CONTINENT AND OTHER CONTINENTS OF THE WORLD</w:t>
        <w:br/>
        <w:t>DOC. EX/CL/97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0" w:val="left"/>
        </w:tabs>
        <w:bidi w:val="0"/>
        <w:spacing w:before="0" w:after="280" w:line="228" w:lineRule="auto"/>
        <w:ind w:left="0" w:right="0" w:firstLine="58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Progress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0" w:val="left"/>
        </w:tabs>
        <w:bidi w:val="0"/>
        <w:spacing w:before="0" w:after="400" w:line="228" w:lineRule="auto"/>
        <w:ind w:left="1440" w:right="0" w:hanging="840"/>
        <w:jc w:val="left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finalise the study on all aspects and implications of the proposal and submit a report to the Sixth Ordinary Session of Council;</w:t>
      </w:r>
    </w:p>
    <w:sectPr>
      <w:footnotePr>
        <w:pos w:val="pageBottom"/>
        <w:numFmt w:val="decimal"/>
        <w:numRestart w:val="continuous"/>
      </w:footnotePr>
      <w:pgSz w:w="12240" w:h="16834"/>
      <w:pgMar w:top="2773" w:right="1363" w:bottom="2773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