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40" w:line="266" w:lineRule="auto"/>
        <w:ind w:left="0" w:right="0" w:firstLine="0"/>
        <w:jc w:val="center"/>
      </w:pPr>
      <w:r>
        <w:rPr>
          <w:b/>
          <w:bCs/>
          <w:color w:val="000000"/>
          <w:spacing w:val="0"/>
          <w:w w:val="100"/>
          <w:position w:val="0"/>
          <w:sz w:val="22"/>
          <w:szCs w:val="22"/>
          <w:u w:val="single"/>
        </w:rPr>
        <w:t>DECISION ON THE REPORT OF THE AD-HOC MINISTERIAL</w:t>
        <w:br/>
        <w:t>COMMITTEE ON THE MITIGATION OF THE SCALE OF ASSESSMENT</w:t>
        <w:br/>
        <w:t>DOC. EX.CL/ 105 (V)</w:t>
      </w:r>
    </w:p>
    <w:p>
      <w:pPr>
        <w:pStyle w:val="Style5"/>
        <w:keepNext/>
        <w:keepLines/>
        <w:widowControl w:val="0"/>
        <w:shd w:val="clear" w:color="auto" w:fill="auto"/>
        <w:bidi w:val="0"/>
        <w:spacing w:before="0" w:line="240"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1431" w:val="left"/>
        </w:tabs>
        <w:bidi w:val="0"/>
        <w:spacing w:before="0" w:line="240" w:lineRule="auto"/>
        <w:ind w:left="0" w:right="0" w:firstLine="720"/>
        <w:jc w:val="both"/>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b w:val="0"/>
          <w:bCs w:val="0"/>
          <w:color w:val="000000"/>
          <w:spacing w:val="0"/>
          <w:w w:val="100"/>
          <w:position w:val="0"/>
          <w:sz w:val="24"/>
          <w:szCs w:val="24"/>
        </w:rPr>
        <w:t>of the Report;</w:t>
      </w:r>
      <w:bookmarkEnd w:id="0"/>
      <w:bookmarkEnd w:id="1"/>
      <w:bookmarkEnd w:id="4"/>
    </w:p>
    <w:p>
      <w:pPr>
        <w:pStyle w:val="Style2"/>
        <w:keepNext w:val="0"/>
        <w:keepLines w:val="0"/>
        <w:widowControl w:val="0"/>
        <w:numPr>
          <w:ilvl w:val="0"/>
          <w:numId w:val="1"/>
        </w:numPr>
        <w:shd w:val="clear" w:color="auto" w:fill="auto"/>
        <w:tabs>
          <w:tab w:pos="1431" w:val="left"/>
        </w:tabs>
        <w:bidi w:val="0"/>
        <w:spacing w:before="0" w:after="280" w:line="240" w:lineRule="auto"/>
        <w:ind w:left="1440" w:right="0" w:hanging="720"/>
        <w:jc w:val="both"/>
        <w:rPr>
          <w:sz w:val="24"/>
          <w:szCs w:val="24"/>
        </w:rPr>
      </w:pPr>
      <w:bookmarkStart w:id="5" w:name="bookmark5"/>
      <w:bookmarkEnd w:id="5"/>
      <w:r>
        <w:rPr>
          <w:b/>
          <w:bCs/>
          <w:color w:val="000000"/>
          <w:spacing w:val="0"/>
          <w:w w:val="100"/>
          <w:position w:val="0"/>
          <w:sz w:val="22"/>
          <w:szCs w:val="22"/>
        </w:rPr>
        <w:t xml:space="preserve">DECIDES </w:t>
      </w:r>
      <w:r>
        <w:rPr>
          <w:color w:val="000000"/>
          <w:spacing w:val="0"/>
          <w:w w:val="100"/>
          <w:position w:val="0"/>
          <w:sz w:val="24"/>
          <w:szCs w:val="24"/>
        </w:rPr>
        <w:t>that the scale of assessment adopted by its Third Ordinary Session held in Maputo, Mozambique in July 2003 (Decision EX.CL/Dec.35 (III), remains in force;</w:t>
      </w:r>
    </w:p>
    <w:p>
      <w:pPr>
        <w:pStyle w:val="Style2"/>
        <w:keepNext w:val="0"/>
        <w:keepLines w:val="0"/>
        <w:widowControl w:val="0"/>
        <w:numPr>
          <w:ilvl w:val="0"/>
          <w:numId w:val="1"/>
        </w:numPr>
        <w:shd w:val="clear" w:color="auto" w:fill="auto"/>
        <w:tabs>
          <w:tab w:pos="1431" w:val="left"/>
        </w:tabs>
        <w:bidi w:val="0"/>
        <w:spacing w:before="0" w:after="280" w:line="240" w:lineRule="auto"/>
        <w:ind w:left="1440" w:right="0" w:hanging="720"/>
        <w:jc w:val="both"/>
        <w:rPr>
          <w:sz w:val="24"/>
          <w:szCs w:val="24"/>
        </w:rPr>
      </w:pPr>
      <w:bookmarkStart w:id="6" w:name="bookmark6"/>
      <w:bookmarkEnd w:id="6"/>
      <w:r>
        <w:rPr>
          <w:b/>
          <w:bCs/>
          <w:color w:val="000000"/>
          <w:spacing w:val="0"/>
          <w:w w:val="100"/>
          <w:position w:val="0"/>
          <w:sz w:val="22"/>
          <w:szCs w:val="22"/>
        </w:rPr>
        <w:t xml:space="preserve">URGES </w:t>
      </w:r>
      <w:r>
        <w:rPr>
          <w:color w:val="000000"/>
          <w:spacing w:val="0"/>
          <w:w w:val="100"/>
          <w:position w:val="0"/>
          <w:sz w:val="24"/>
          <w:szCs w:val="24"/>
        </w:rPr>
        <w:t>Member States to accept to pay their dues in accordance with the present scale of assessment;</w:t>
      </w:r>
    </w:p>
    <w:p>
      <w:pPr>
        <w:pStyle w:val="Style2"/>
        <w:keepNext w:val="0"/>
        <w:keepLines w:val="0"/>
        <w:widowControl w:val="0"/>
        <w:numPr>
          <w:ilvl w:val="0"/>
          <w:numId w:val="1"/>
        </w:numPr>
        <w:shd w:val="clear" w:color="auto" w:fill="auto"/>
        <w:tabs>
          <w:tab w:pos="1431" w:val="left"/>
        </w:tabs>
        <w:bidi w:val="0"/>
        <w:spacing w:before="0" w:after="280" w:line="240" w:lineRule="auto"/>
        <w:ind w:left="1440" w:right="0" w:hanging="720"/>
        <w:jc w:val="both"/>
        <w:rPr>
          <w:sz w:val="24"/>
          <w:szCs w:val="24"/>
        </w:rPr>
      </w:pPr>
      <w:bookmarkStart w:id="7" w:name="bookmark7"/>
      <w:bookmarkEnd w:id="7"/>
      <w:r>
        <w:rPr>
          <w:b/>
          <w:bCs/>
          <w:color w:val="000000"/>
          <w:spacing w:val="0"/>
          <w:w w:val="100"/>
          <w:position w:val="0"/>
          <w:sz w:val="22"/>
          <w:szCs w:val="22"/>
        </w:rPr>
        <w:t xml:space="preserve">REQUESTS </w:t>
      </w:r>
      <w:r>
        <w:rPr>
          <w:color w:val="000000"/>
          <w:spacing w:val="0"/>
          <w:w w:val="100"/>
          <w:position w:val="0"/>
          <w:sz w:val="24"/>
          <w:szCs w:val="24"/>
        </w:rPr>
        <w:t>the Commission to begin the revision of the said scale on the basis of the most recent data, taking into account the real capacity of each Member State to pay its dues and the fact that the amount of the programme budget is bound to increase considerably in the years to come. The review will also take into account the requests made by some Member States;</w:t>
      </w:r>
    </w:p>
    <w:p>
      <w:pPr>
        <w:pStyle w:val="Style2"/>
        <w:keepNext w:val="0"/>
        <w:keepLines w:val="0"/>
        <w:widowControl w:val="0"/>
        <w:numPr>
          <w:ilvl w:val="0"/>
          <w:numId w:val="1"/>
        </w:numPr>
        <w:shd w:val="clear" w:color="auto" w:fill="auto"/>
        <w:tabs>
          <w:tab w:pos="1431" w:val="left"/>
        </w:tabs>
        <w:bidi w:val="0"/>
        <w:spacing w:before="0" w:after="280" w:line="240" w:lineRule="auto"/>
        <w:ind w:left="1440" w:right="0" w:hanging="720"/>
        <w:jc w:val="both"/>
        <w:rPr>
          <w:sz w:val="24"/>
          <w:szCs w:val="24"/>
        </w:rPr>
      </w:pPr>
      <w:bookmarkStart w:id="8" w:name="bookmark8"/>
      <w:bookmarkEnd w:id="8"/>
      <w:r>
        <w:rPr>
          <w:b/>
          <w:bCs/>
          <w:color w:val="000000"/>
          <w:spacing w:val="0"/>
          <w:w w:val="100"/>
          <w:position w:val="0"/>
          <w:sz w:val="22"/>
          <w:szCs w:val="22"/>
        </w:rPr>
        <w:t xml:space="preserve">FURTHER REQUESTS </w:t>
      </w:r>
      <w:r>
        <w:rPr>
          <w:color w:val="000000"/>
          <w:spacing w:val="0"/>
          <w:w w:val="100"/>
          <w:position w:val="0"/>
          <w:sz w:val="24"/>
          <w:szCs w:val="24"/>
        </w:rPr>
        <w:t>the Ministerial Ad-Hoc Committee to consider the proposals made by the Commission and to present its report to the 6</w:t>
      </w:r>
      <w:r>
        <w:rPr>
          <w:color w:val="000000"/>
          <w:spacing w:val="0"/>
          <w:w w:val="100"/>
          <w:position w:val="0"/>
          <w:sz w:val="24"/>
          <w:szCs w:val="24"/>
          <w:vertAlign w:val="superscript"/>
        </w:rPr>
        <w:t>th</w:t>
      </w:r>
      <w:r>
        <w:rPr>
          <w:color w:val="000000"/>
          <w:spacing w:val="0"/>
          <w:w w:val="100"/>
          <w:position w:val="0"/>
          <w:sz w:val="24"/>
          <w:szCs w:val="24"/>
        </w:rPr>
        <w:t xml:space="preserve"> Ordinary Session of the Executive Council.</w:t>
      </w:r>
    </w:p>
    <w:sectPr>
      <w:footnotePr>
        <w:pos w:val="pageBottom"/>
        <w:numFmt w:val="decimal"/>
        <w:numRestart w:val="continuous"/>
      </w:footnotePr>
      <w:pgSz w:w="12240" w:h="16834"/>
      <w:pgMar w:top="2500" w:right="1370" w:bottom="2500" w:left="139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