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NON-AGGRESSION AND</w:t>
        <w:br/>
        <w:t>COMMON DEFENCE PACT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7" w:val="left"/>
        </w:tabs>
        <w:bidi w:val="0"/>
        <w:spacing w:before="0" w:after="280" w:line="240" w:lineRule="auto"/>
        <w:ind w:left="1440" w:right="0" w:hanging="700"/>
        <w:jc w:val="both"/>
        <w:rPr>
          <w:sz w:val="24"/>
          <w:szCs w:val="24"/>
        </w:rPr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reports of the First and Second meetings of Government Experts and the recommendations of the Third meeting of the African Union Ministers of Defence;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7" w:val="left"/>
        </w:tabs>
        <w:bidi w:val="0"/>
        <w:spacing w:before="0" w:after="280" w:line="240" w:lineRule="auto"/>
        <w:ind w:left="1440" w:right="0" w:hanging="700"/>
        <w:jc w:val="both"/>
        <w:rPr>
          <w:sz w:val="24"/>
          <w:szCs w:val="24"/>
        </w:rPr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NOTES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there were two decisions of the Extraordinary Summit Session held in Sirte, Libya, having the same references which has been circulated, and [that] this led to the confusion in the understanding of the Council, regarding the Decision of the Heads of State and Government on the Draft on Non-Aggression and Common Defence Pact;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7" w:val="left"/>
        </w:tabs>
        <w:bidi w:val="0"/>
        <w:spacing w:before="0" w:after="280" w:line="240" w:lineRule="auto"/>
        <w:ind w:left="1440" w:right="0" w:hanging="700"/>
        <w:jc w:val="both"/>
        <w:rPr>
          <w:sz w:val="24"/>
          <w:szCs w:val="24"/>
        </w:rPr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Assembly of Heads of State and Government to clarify their decision taken in Sirte, Libya in February 2004.</w:t>
      </w:r>
    </w:p>
    <w:sectPr>
      <w:footnotePr>
        <w:pos w:val="pageBottom"/>
        <w:numFmt w:val="decimal"/>
        <w:numRestart w:val="continuous"/>
      </w:footnotePr>
      <w:pgSz w:w="12240" w:h="16834"/>
      <w:pgMar w:top="2527" w:right="1358" w:bottom="1927" w:left="137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