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AN AFRICAN COMMON POSITION ON</w:t>
        <w:br/>
        <w:t>AN ANTI-PERSONNEL LANDMINES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40" w:line="264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300" w:line="240" w:lineRule="auto"/>
        <w:ind w:left="1440" w:right="0" w:hanging="700"/>
        <w:jc w:val="both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recommendations of the African Groups in New York and Geneva on the need for an African Common Position on an Anti-Personnel Landmines;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300" w:line="240" w:lineRule="auto"/>
        <w:ind w:left="1440" w:right="0" w:hanging="700"/>
        <w:jc w:val="both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convene a meeting of Experts in September 2004 in Addis Ababa, to elaborate a Common African Position, based on the relevant Decisions of the OAU/AU, particularly the Plan of Action of Kempton Park of May 1997 and the Ottawa Convention, for submission to the Nairobi Review Conference in November 2004;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420" w:line="240" w:lineRule="auto"/>
        <w:ind w:left="1440" w:right="0" w:hanging="700"/>
        <w:jc w:val="both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submit the report of the Experts group meeting to a Ministerial meeting to be held on the margins of the UN General Assembly Session in 2004 for consideration.</w:t>
      </w:r>
    </w:p>
    <w:sectPr>
      <w:footnotePr>
        <w:pos w:val="pageBottom"/>
        <w:numFmt w:val="decimal"/>
        <w:numRestart w:val="continuous"/>
      </w:footnotePr>
      <w:pgSz w:w="12240" w:h="16834"/>
      <w:pgMar w:top="2512" w:right="1373" w:bottom="2512" w:left="138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