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ALTERNATIVE SOURCES</w:t>
        <w:br/>
        <w:t>OF FUNDING THE AFRICAN UNION</w:t>
        <w:br/>
        <w:t>DOC. EX/CL/71 (IV)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40" w:line="26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42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a group of 15 experts from Member States (3 per region) specialized in financial, fiscal customs and public finance matters should be established to consider the report submitted to the 3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rd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Executive Council held in Maputo in July 2003;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42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the related expenses should be borne by the Commission;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42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the Commission should take the necessary steps for the experts to meet as soon as possible and submit their report before 31 May 2004;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42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the report of the experts should be submitted for consideration during the Fifth Ordinary Session due to take place in Addis Ababa, Ethiopia in July 2004.</w:t>
      </w:r>
    </w:p>
    <w:sectPr>
      <w:footnotePr>
        <w:pos w:val="pageBottom"/>
        <w:numFmt w:val="decimal"/>
        <w:numRestart w:val="continuous"/>
      </w:footnotePr>
      <w:pgSz w:w="12240" w:h="16834"/>
      <w:pgMar w:top="2784" w:right="1371" w:bottom="2784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