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ELECTION OF MEMBERS OF</w:t>
        <w:br/>
        <w:t>THE PEACE AND SECURITY COUNCIL</w:t>
        <w:br/>
        <w:t>DOC. EX/CL/78 (IV)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The Executive Council: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1. 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720" w:right="0" w:hanging="72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2. ELECTS and APPOINTS, </w:t>
      </w:r>
      <w:r>
        <w:rPr>
          <w:color w:val="000000"/>
          <w:spacing w:val="0"/>
          <w:w w:val="100"/>
          <w:position w:val="0"/>
          <w:sz w:val="24"/>
          <w:szCs w:val="24"/>
        </w:rPr>
        <w:t>upon delegation of power by the Assembly, the following Member States into the Peace and Security Council: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6200" distB="2353310" distL="0" distR="0" simplePos="0" relativeHeight="125829378" behindDoc="0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76200</wp:posOffset>
                </wp:positionV>
                <wp:extent cx="1228090" cy="18288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>Central Region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5.5pt;margin-top:6.pt;width:96.700000000000003pt;height:14.4pt;z-index:-125829375;mso-wrap-distance-left:0;mso-wrap-distance-top:6.pt;mso-wrap-distance-right:0;mso-wrap-distance-bottom:185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</w:rPr>
                        <w:t>Central Region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2775" distB="746760" distL="0" distR="0" simplePos="0" relativeHeight="125829380" behindDoc="0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612775</wp:posOffset>
                </wp:positionV>
                <wp:extent cx="770890" cy="12528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252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>Eastern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>Northern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>Southern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5.5pt;margin-top:48.25pt;width:60.700000000000003pt;height:98.650000000000006pt;z-index:-125829373;mso-wrap-distance-left:0;mso-wrap-distance-top:48.25pt;mso-wrap-distance-right:0;mso-wrap-distance-bottom:58.8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</w:rPr>
                        <w:t>Eastern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</w:rPr>
                        <w:t>Northern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</w:rPr>
                        <w:t>Southern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1865" distB="210820" distL="0" distR="0" simplePos="0" relativeHeight="125829382" behindDoc="0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2221865</wp:posOffset>
                </wp:positionV>
                <wp:extent cx="682625" cy="1797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>Western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5.5pt;margin-top:174.95000000000002pt;width:53.75pt;height:14.15pt;z-index:-125829371;mso-wrap-distance-left:0;mso-wrap-distance-top:174.95000000000002pt;mso-wrap-distance-right:0;mso-wrap-distance-bottom:16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</w:rPr>
                        <w:t>Western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440" distB="0" distL="0" distR="0" simplePos="0" relativeHeight="125829384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91440</wp:posOffset>
                </wp:positionV>
                <wp:extent cx="3124200" cy="25209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24200" cy="25209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200"/>
                              <w:gridCol w:w="653"/>
                              <w:gridCol w:w="3067"/>
                            </w:tblGrid>
                            <w:tr>
                              <w:trPr>
                                <w:tblHeader/>
                                <w:trHeight w:val="29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3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Gabon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2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Cameroon, Congo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3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Ethiopia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2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Kenya, The Sudan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3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Algeria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2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Libya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3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South Africa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2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Lesotho, Mozambique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3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Nigeria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2 years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</w:rPr>
                                    <w:t>Ghana, Senegal, Togo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6.19999999999999pt;margin-top:7.2000000000000002pt;width:246.pt;height:198.5pt;z-index:-125829369;mso-wrap-distance-left:0;mso-wrap-distance-top:7.2000000000000002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200"/>
                        <w:gridCol w:w="653"/>
                        <w:gridCol w:w="3067"/>
                      </w:tblGrid>
                      <w:tr>
                        <w:trPr>
                          <w:tblHeader/>
                          <w:trHeight w:val="29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3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Gabon</w:t>
                            </w:r>
                          </w:p>
                        </w:tc>
                      </w:tr>
                      <w:tr>
                        <w:trPr>
                          <w:trHeight w:val="42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2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Cameroon, Congo</w:t>
                            </w:r>
                          </w:p>
                        </w:tc>
                      </w:tr>
                      <w:tr>
                        <w:trPr>
                          <w:trHeight w:val="42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3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Ethiopia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2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Kenya, The Sudan</w:t>
                            </w:r>
                          </w:p>
                        </w:tc>
                      </w:tr>
                      <w:tr>
                        <w:trPr>
                          <w:trHeight w:val="42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3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Algeria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2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Libya</w:t>
                            </w:r>
                          </w:p>
                        </w:tc>
                      </w:tr>
                      <w:tr>
                        <w:trPr>
                          <w:trHeight w:val="40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3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South Africa</w:t>
                            </w:r>
                          </w:p>
                        </w:tc>
                      </w:tr>
                      <w:tr>
                        <w:trPr>
                          <w:trHeight w:val="44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2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Lesotho, Mozambique</w:t>
                            </w:r>
                          </w:p>
                        </w:tc>
                      </w:tr>
                      <w:tr>
                        <w:trPr>
                          <w:trHeight w:val="42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3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Nigeria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2 years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Ghana, Senegal, Togo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pgSz w:w="12240" w:h="16834"/>
      <w:pgMar w:top="3063" w:right="1380" w:bottom="3063" w:left="1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Other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Other"/>
    <w:basedOn w:val="Normal"/>
    <w:link w:val="CharStyle6"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