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80" w:line="262" w:lineRule="auto"/>
        <w:ind w:left="0" w:right="0" w:firstLine="0"/>
        <w:jc w:val="center"/>
      </w:pPr>
      <w:r>
        <w:rPr>
          <w:b/>
          <w:bCs/>
          <w:color w:val="000000"/>
          <w:spacing w:val="0"/>
          <w:w w:val="100"/>
          <w:position w:val="0"/>
          <w:sz w:val="22"/>
          <w:szCs w:val="22"/>
          <w:u w:val="single"/>
        </w:rPr>
        <w:t>DECISION ON THE MERGER OF THE AFRICAN COURT ON</w:t>
        <w:br/>
        <w:t>HUMAN AND PEOPLES’ RIGHTS AND THE COURT OF</w:t>
        <w:br/>
        <w:t>JUSTICE OF THE AFRICAN UNION</w:t>
        <w:br/>
      </w:r>
      <w:r>
        <w:rPr>
          <w:b/>
          <w:bCs/>
          <w:color w:val="000000"/>
          <w:spacing w:val="0"/>
          <w:w w:val="100"/>
          <w:position w:val="0"/>
          <w:sz w:val="22"/>
          <w:szCs w:val="22"/>
        </w:rPr>
        <w:t>Doc. EX.CL/162 (VI)</w:t>
      </w:r>
    </w:p>
    <w:p>
      <w:pPr>
        <w:pStyle w:val="Style6"/>
        <w:keepNext/>
        <w:keepLines/>
        <w:widowControl w:val="0"/>
        <w:shd w:val="clear" w:color="auto" w:fill="auto"/>
        <w:bidi w:val="0"/>
        <w:spacing w:before="0" w:line="262" w:lineRule="auto"/>
        <w:ind w:left="0" w:right="0" w:firstLine="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6"/>
        <w:keepNext/>
        <w:keepLines/>
        <w:widowControl w:val="0"/>
        <w:numPr>
          <w:ilvl w:val="0"/>
          <w:numId w:val="1"/>
        </w:numPr>
        <w:shd w:val="clear" w:color="auto" w:fill="auto"/>
        <w:tabs>
          <w:tab w:pos="654" w:val="left"/>
        </w:tabs>
        <w:bidi w:val="0"/>
        <w:spacing w:before="0" w:line="262" w:lineRule="auto"/>
        <w:ind w:left="0" w:right="0" w:firstLine="0"/>
        <w:jc w:val="left"/>
        <w:rPr>
          <w:sz w:val="24"/>
          <w:szCs w:val="24"/>
        </w:rPr>
      </w:pPr>
      <w:bookmarkStart w:id="0" w:name="bookmark0"/>
      <w:bookmarkStart w:id="1" w:name="bookmark1"/>
      <w:bookmarkStart w:id="3" w:name="bookmark3"/>
      <w:bookmarkStart w:id="4" w:name="bookmark4"/>
      <w:bookmarkEnd w:id="3"/>
      <w:r>
        <w:rPr>
          <w:color w:val="000000"/>
          <w:spacing w:val="0"/>
          <w:w w:val="100"/>
          <w:position w:val="0"/>
          <w:sz w:val="22"/>
          <w:szCs w:val="22"/>
        </w:rPr>
        <w:t xml:space="preserve">TAKES NOTE </w:t>
      </w:r>
      <w:r>
        <w:rPr>
          <w:b w:val="0"/>
          <w:bCs w:val="0"/>
          <w:color w:val="000000"/>
          <w:spacing w:val="0"/>
          <w:w w:val="100"/>
          <w:position w:val="0"/>
          <w:sz w:val="24"/>
          <w:szCs w:val="24"/>
        </w:rPr>
        <w:t>of the Report;</w:t>
      </w:r>
      <w:bookmarkEnd w:id="0"/>
      <w:bookmarkEnd w:id="1"/>
      <w:bookmarkEnd w:id="4"/>
    </w:p>
    <w:p>
      <w:pPr>
        <w:pStyle w:val="Style2"/>
        <w:keepNext w:val="0"/>
        <w:keepLines w:val="0"/>
        <w:widowControl w:val="0"/>
        <w:numPr>
          <w:ilvl w:val="0"/>
          <w:numId w:val="1"/>
        </w:numPr>
        <w:shd w:val="clear" w:color="auto" w:fill="auto"/>
        <w:tabs>
          <w:tab w:pos="654" w:val="left"/>
        </w:tabs>
        <w:bidi w:val="0"/>
        <w:spacing w:before="0" w:after="280" w:line="240" w:lineRule="auto"/>
        <w:ind w:left="660" w:right="0" w:hanging="660"/>
        <w:jc w:val="left"/>
        <w:rPr>
          <w:sz w:val="24"/>
          <w:szCs w:val="24"/>
        </w:rPr>
      </w:pPr>
      <w:bookmarkStart w:id="5" w:name="bookmark5"/>
      <w:bookmarkEnd w:id="5"/>
      <w:r>
        <w:rPr>
          <w:b/>
          <w:bCs/>
          <w:color w:val="000000"/>
          <w:spacing w:val="0"/>
          <w:w w:val="100"/>
          <w:position w:val="0"/>
          <w:sz w:val="22"/>
          <w:szCs w:val="22"/>
        </w:rPr>
        <w:t xml:space="preserve">DECIDES </w:t>
      </w:r>
      <w:r>
        <w:rPr>
          <w:color w:val="000000"/>
          <w:spacing w:val="0"/>
          <w:w w:val="100"/>
          <w:position w:val="0"/>
          <w:sz w:val="24"/>
          <w:szCs w:val="24"/>
        </w:rPr>
        <w:t>to refer the recommendations of the Commission and the PRC and the Draft legal instrument to a meeting of the PRC aid Government Legal experts for finalisation and submission to the 7</w:t>
      </w:r>
      <w:r>
        <w:rPr>
          <w:color w:val="000000"/>
          <w:spacing w:val="0"/>
          <w:w w:val="100"/>
          <w:position w:val="0"/>
          <w:sz w:val="24"/>
          <w:szCs w:val="24"/>
          <w:vertAlign w:val="superscript"/>
        </w:rPr>
        <w:t xml:space="preserve">th </w:t>
      </w:r>
      <w:r>
        <w:rPr>
          <w:color w:val="000000"/>
          <w:spacing w:val="0"/>
          <w:w w:val="100"/>
          <w:position w:val="0"/>
          <w:sz w:val="24"/>
          <w:szCs w:val="24"/>
        </w:rPr>
        <w:t>Ordinary Session of Council in July 2005, without prejudice to the operationalization of the African Court on Human and Peoples’ Rights as far as possible;</w:t>
      </w:r>
    </w:p>
    <w:p>
      <w:pPr>
        <w:pStyle w:val="Style2"/>
        <w:keepNext w:val="0"/>
        <w:keepLines w:val="0"/>
        <w:widowControl w:val="0"/>
        <w:numPr>
          <w:ilvl w:val="0"/>
          <w:numId w:val="1"/>
        </w:numPr>
        <w:shd w:val="clear" w:color="auto" w:fill="auto"/>
        <w:tabs>
          <w:tab w:pos="654" w:val="left"/>
        </w:tabs>
        <w:bidi w:val="0"/>
        <w:spacing w:before="0" w:after="280" w:line="240" w:lineRule="auto"/>
        <w:ind w:left="660" w:right="0" w:hanging="660"/>
        <w:jc w:val="left"/>
        <w:rPr>
          <w:sz w:val="24"/>
          <w:szCs w:val="24"/>
        </w:rPr>
      </w:pPr>
      <w:bookmarkStart w:id="6" w:name="bookmark6"/>
      <w:bookmarkEnd w:id="6"/>
      <w:r>
        <w:rPr>
          <w:b/>
          <w:bCs/>
          <w:color w:val="000000"/>
          <w:spacing w:val="0"/>
          <w:w w:val="100"/>
          <w:position w:val="0"/>
          <w:sz w:val="22"/>
          <w:szCs w:val="22"/>
        </w:rPr>
        <w:t xml:space="preserve">URGES </w:t>
      </w:r>
      <w:r>
        <w:rPr>
          <w:color w:val="000000"/>
          <w:spacing w:val="0"/>
          <w:w w:val="100"/>
          <w:position w:val="0"/>
          <w:sz w:val="24"/>
          <w:szCs w:val="24"/>
        </w:rPr>
        <w:t>all Member States which have not yet done so to sign and ratify or accede to the Protocol to the African Charter on Human and Peoples’ Rights and the Protocol on the Court of Justice of the African Union.</w:t>
      </w:r>
    </w:p>
    <w:sectPr>
      <w:footnotePr>
        <w:pos w:val="pageBottom"/>
        <w:numFmt w:val="decimal"/>
        <w:numRestart w:val="continuous"/>
      </w:footnotePr>
      <w:pgSz w:w="12240" w:h="16834"/>
      <w:pgMar w:top="2769" w:right="1209" w:bottom="2769" w:left="155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7">
    <w:name w:val="Heading #2_"/>
    <w:basedOn w:val="DefaultParagraphFont"/>
    <w:link w:val="Style6"/>
    <w:rPr>
      <w:rFonts w:ascii="Bookman Old Style" w:eastAsia="Bookman Old Style" w:hAnsi="Bookman Old Style" w:cs="Bookman Old Style"/>
      <w:b/>
      <w:bCs/>
      <w:i w:val="0"/>
      <w:iCs w:val="0"/>
      <w:smallCaps w:val="0"/>
      <w:strike w:val="0"/>
      <w:sz w:val="22"/>
      <w:szCs w:val="22"/>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6">
    <w:name w:val="Heading #2"/>
    <w:basedOn w:val="Normal"/>
    <w:link w:val="CharStyle7"/>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