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CRITERIA FOR GRANTING OBSERVER</w:t>
        <w:br/>
        <w:t>STATUS AND A SYSTEM OF ACCREDITATION TO THE AU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Doc. EX.CL/161 (VI)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00" w:line="262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62" w:val="left"/>
        </w:tabs>
        <w:bidi w:val="0"/>
        <w:spacing w:before="0" w:after="300" w:line="262" w:lineRule="auto"/>
        <w:ind w:left="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2" w:val="left"/>
        </w:tabs>
        <w:bidi w:val="0"/>
        <w:spacing w:before="0" w:after="300" w:line="240" w:lineRule="auto"/>
        <w:ind w:left="680" w:right="0" w:hanging="680"/>
        <w:jc w:val="left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refer the Draft Criteria for Granting Observer Status and the System of Accreditation to the AU as contained in Document EX.CL/161 (VI) to a meeting of the PRC and Legal experts for finalization and submission to the 7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 Executive Council scheduled in July 2005.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2" w:val="left"/>
        </w:tabs>
        <w:bidi w:val="0"/>
        <w:spacing w:before="0" w:after="300" w:line="240" w:lineRule="auto"/>
        <w:ind w:left="680" w:right="0" w:hanging="680"/>
        <w:jc w:val="left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non-African States and inter-governmental organizations could be granted accreditation to the Union with the right to attend only public sessions and to receive only documents of general distribution;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2" w:val="left"/>
        </w:tabs>
        <w:bidi w:val="0"/>
        <w:spacing w:before="0" w:after="300" w:line="230" w:lineRule="auto"/>
        <w:ind w:left="680" w:right="0" w:hanging="680"/>
        <w:jc w:val="left"/>
        <w:rPr>
          <w:sz w:val="24"/>
          <w:szCs w:val="24"/>
        </w:rPr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develop and strictly enforce a system of classification of documents.</w:t>
      </w:r>
    </w:p>
    <w:sectPr>
      <w:footnotePr>
        <w:pos w:val="pageBottom"/>
        <w:numFmt w:val="decimal"/>
        <w:numRestart w:val="continuous"/>
      </w:footnotePr>
      <w:pgSz w:w="12240" w:h="16834"/>
      <w:pgMar w:top="2527" w:right="1215" w:bottom="2527" w:left="154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Heading #2_"/>
    <w:basedOn w:val="DefaultParagraphFont"/>
    <w:link w:val="Style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