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AFRICAN COMMON POSITION</w:t>
        <w:br/>
        <w:t>ON CRIME PREVENTION AND CRIMINAL JUSTICE</w:t>
        <w:br/>
        <w:t>Doc. EX.CL/150 (VI)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52" w:lineRule="auto"/>
        <w:ind w:left="740" w:right="0" w:hanging="74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document on the African Common Position on Crime Prevention and Criminal Justice recommended by the 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nd </w:t>
      </w:r>
      <w:r>
        <w:rPr>
          <w:color w:val="000000"/>
          <w:spacing w:val="0"/>
          <w:w w:val="100"/>
          <w:position w:val="0"/>
          <w:sz w:val="24"/>
          <w:szCs w:val="24"/>
        </w:rPr>
        <w:t>Session of the Ministerial Conference on Drug Control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40" w:right="0" w:hanging="74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RECOGNISES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for Africa to adopt a common position at the forthcoming 11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United Nations Congress on Crime Prevention and Criminal Justice in Bangkok, Thailand, in April 2005;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40" w:right="0" w:hanging="74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ADOPTS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Common Position on Crime Prevention and Criminal Justice as Africa’s contribution to the 11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United Nations Congress on Crime Prevention and Criminal Justice, scheduled for Bangkok, Thailand, in April 2005;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40" w:right="0" w:hanging="74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incorporate and implement the African Common Position in their Crime Prevention and Criminal Justice programmes and activities;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40" w:right="0" w:hanging="74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Minister of Mauritius for Social Security, National Solidarity, Senior Citizen Welfare and Reform Institutions to present the Common Position to the 11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UN Congress on Crime Prevention and Criminal Justice;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40" w:right="0" w:hanging="74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FINALLY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Union Commission to report on the outcome of the 2005 Bangkok process and the implementation of the African Common Position on Crime Prevention and Criminal Justice on a biennial basis.</w:t>
      </w:r>
    </w:p>
    <w:sectPr>
      <w:footnotePr>
        <w:pos w:val="pageBottom"/>
        <w:numFmt w:val="decimal"/>
        <w:numRestart w:val="continuous"/>
      </w:footnotePr>
      <w:pgSz w:w="12240" w:h="16834"/>
      <w:pgMar w:top="2405" w:right="1215" w:bottom="2405" w:left="15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