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DRAFT PROTOCOL ON RELATIONS BETWEEN</w:t>
        <w:br/>
        <w:t>THE AU AND THE REGIONAL ECONOMIC COMMUNITIES</w:t>
        <w:br/>
        <w:t>Doc. EX.CL/158 (VII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80" w:line="262" w:lineRule="auto"/>
        <w:ind w:left="0" w:right="0" w:firstLine="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draft Protocol;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said Protocol was considered and adopted by the Commission and the RECs at their 2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ld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Coordination Committee meeting held in Addis Ababa in June 2004;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the Protocol to the PRC and legal experts from Member States for consideration;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the Protocol to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Council in July 2005;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280" w:line="240" w:lineRule="auto"/>
        <w:ind w:left="740" w:right="0" w:hanging="740"/>
        <w:jc w:val="left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ALSO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carry out a study on the categorization of African Regional Institutions with the view to rationalize the institutional framework of the Union.</w:t>
      </w:r>
    </w:p>
    <w:sectPr>
      <w:footnotePr>
        <w:pos w:val="pageBottom"/>
        <w:numFmt w:val="decimal"/>
        <w:numRestart w:val="continuous"/>
      </w:footnotePr>
      <w:pgSz w:w="12240" w:h="16834"/>
      <w:pgMar w:top="2357" w:right="1558" w:bottom="2357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