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SITUATION OF REFUGEES.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  <w:u w:val="single"/>
        </w:rPr>
        <w:t>RETURNEES AND DISPLACED PERSONS</w:t>
      </w:r>
      <w:bookmarkEnd w:id="0"/>
      <w:bookmarkEnd w:id="1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u w:val="single"/>
        </w:rPr>
        <w:t>Doc. EX.CL/148 (VII</w:t>
      </w:r>
      <w:bookmarkEnd w:id="4"/>
      <w:bookmarkEnd w:id="5"/>
      <w:bookmarkEnd w:id="6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both"/>
      </w:pPr>
      <w:bookmarkStart w:id="4" w:name="bookmark4"/>
      <w:bookmarkStart w:id="5" w:name="bookmark5"/>
      <w:bookmarkStart w:id="7" w:name="bookmark7"/>
      <w:r>
        <w:rPr>
          <w:color w:val="000000"/>
          <w:spacing w:val="0"/>
          <w:w w:val="100"/>
          <w:position w:val="0"/>
        </w:rPr>
        <w:t>The Executive Council:</w:t>
      </w:r>
      <w:bookmarkEnd w:id="4"/>
      <w:bookmarkEnd w:id="5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CONCERN </w:t>
      </w:r>
      <w:r>
        <w:rPr>
          <w:color w:val="000000"/>
          <w:spacing w:val="0"/>
          <w:w w:val="100"/>
          <w:position w:val="0"/>
          <w:sz w:val="24"/>
          <w:szCs w:val="24"/>
        </w:rPr>
        <w:t>over the problems of refugees and displaced persons that have persisted in the Continent as well as the grave continued violations of human rights in conflict situations;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Member States that continue to host refugees and make available to them all the facilities and services in the spirit of African solidarity and hospitality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ON </w:t>
      </w:r>
      <w:r>
        <w:rPr>
          <w:color w:val="000000"/>
          <w:spacing w:val="0"/>
          <w:w w:val="100"/>
          <w:position w:val="0"/>
          <w:sz w:val="24"/>
          <w:szCs w:val="24"/>
        </w:rPr>
        <w:t>all Member States to mobilize resources in order to alleviate the burden on recipient Member States;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Member States which have abided by the peace initiative and agreements that have created conducive conditions for the return of refugees and displaced persons to their communities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Member States concerned to promote voluntary return of their nationals;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the International Community to support the on-going repatriation operations and post-conflict reconstruction programmes in various areas;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appointment of a Special Representative on the Protection of Civilians in Armed Conflict Situations in Africa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the donor community to extend moral, material and financial support to the Special Representative in the execution of her mandate;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as well as Non-State Actors to comply with the International Humanitarian Law;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continue monitoring the situation of refugees, returnees and displaced persons in close collaboration with the AU Commission on Refugees; revitalize, as a matter of urgency, the Coordinating Committee on Assistance and Protection to Refugees and Internally Displaced Persons; and continue to implement the Comprehensive Implementation Plan in close collaboration with the United Nations High Commissioner for Refugees (UNHCR) and the International Committee of the Red Cross (ICRC);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 w:after="280" w:line="240" w:lineRule="auto"/>
        <w:ind w:left="1080" w:right="0" w:hanging="720"/>
        <w:jc w:val="both"/>
        <w:rPr>
          <w:sz w:val="24"/>
          <w:szCs w:val="24"/>
        </w:rPr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convene a Ministerial Conference on refugees, returnees and displaced persons in 2006, in collaboration with the AU Commission on Refugees, UNHCR and other relevant partners;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hanging="72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9. 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launch a resource mobilization programme in close collaboration with all relevant partners for the purpose of ensuring the adequate well-being and protection for refugees and displaced persons and durable solution to the problem in Africa.</w:t>
      </w:r>
    </w:p>
    <w:sectPr>
      <w:footnotePr>
        <w:pos w:val="pageBottom"/>
        <w:numFmt w:val="decimal"/>
        <w:numRestart w:val="continuous"/>
      </w:footnotePr>
      <w:pgSz w:w="12240" w:h="16834"/>
      <w:pgMar w:top="1747" w:right="1513" w:bottom="1310" w:left="15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