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STATUS OF OAU/AU TREATIES</w:t>
        <w:br/>
        <w:t>Doc. EX.CL/159 (VI)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line="240" w:lineRule="auto"/>
        <w:ind w:left="680" w:right="0" w:hanging="68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for the personal initiatives and efforts aimed at encouraging Member States to become States Parties to the OAU/AU Treaties;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line="240" w:lineRule="auto"/>
        <w:ind w:left="680" w:right="0" w:hanging="68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that have not yet done so to sign and ratify or accede to OAU/AU Treaties expeditiously;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1" w:val="left"/>
        </w:tabs>
        <w:bidi w:val="0"/>
        <w:spacing w:before="0" w:line="240" w:lineRule="auto"/>
        <w:ind w:left="680" w:right="0" w:hanging="680"/>
        <w:jc w:val="left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to submit information on Constitutional Procedures relating to ratification or accession to OAU/AU Treaties to the Commission as requested by Council in July 2004.</w:t>
      </w:r>
    </w:p>
    <w:sectPr>
      <w:footnotePr>
        <w:pos w:val="pageBottom"/>
        <w:numFmt w:val="decimal"/>
        <w:numRestart w:val="continuous"/>
      </w:footnotePr>
      <w:pgSz w:w="12240" w:h="16834"/>
      <w:pgMar w:top="2604" w:right="1550" w:bottom="2604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