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PROPOSED AMENDMENTS TO THE RULES OF</w:t>
        <w:br/>
        <w:t>PROCEDURE OF THE PRC. THE EXECUTIVE COUNCIL AND THE</w:t>
        <w:br/>
        <w:t>ASSEMBLY AND THE STATUTES OF THE COMMISSION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Doc. EX.CL/160fVn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95" w:val="left"/>
        </w:tabs>
        <w:bidi w:val="0"/>
        <w:spacing w:before="0" w:after="280" w:line="262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95" w:val="left"/>
        </w:tabs>
        <w:bidi w:val="0"/>
        <w:spacing w:before="0" w:after="280" w:line="240" w:lineRule="auto"/>
        <w:ind w:left="620" w:right="0" w:hanging="620"/>
        <w:jc w:val="left"/>
        <w:rPr>
          <w:sz w:val="24"/>
          <w:szCs w:val="24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refer the proposals for amendment to a meeting of the PRC and Legal experts from Member States for finalization and submission to the 7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Council in July 2005.</w:t>
      </w:r>
    </w:p>
    <w:sectPr>
      <w:footnotePr>
        <w:pos w:val="pageBottom"/>
        <w:numFmt w:val="decimal"/>
        <w:numRestart w:val="continuous"/>
      </w:footnotePr>
      <w:pgSz w:w="12240" w:h="16834"/>
      <w:pgMar w:top="2637" w:right="1546" w:bottom="2637" w:left="15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