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DECISION ON THE 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</w:rPr>
        <w:t>17</w:t>
      </w:r>
      <w:r>
        <w:rPr>
          <w:smallCaps/>
          <w:color w:val="000000"/>
          <w:spacing w:val="0"/>
          <w:w w:val="100"/>
          <w:position w:val="0"/>
          <w:sz w:val="24"/>
          <w:szCs w:val="24"/>
          <w:u w:val="single"/>
          <w:vertAlign w:val="superscript"/>
        </w:rPr>
        <w:t>th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 xml:space="preserve"> ANNUAL ACTIVITY REPORT</w:t>
        <w:br/>
        <w:t>OF THE AFRICAN COMMISSION ON HUMAN AND</w:t>
        <w:br/>
        <w:t>PEOPLES’ RIGHTS fACHPR)</w:t>
        <w:br/>
        <w:t>Doc. EX.CL/167 (VII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780" w:right="0" w:hanging="780"/>
        <w:jc w:val="left"/>
        <w:rPr>
          <w:sz w:val="24"/>
          <w:szCs w:val="24"/>
        </w:rPr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FURTHER 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fact that Member States responses have been attached to the above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7" w:val="left"/>
        </w:tabs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recommend to the Assembly 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4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ADOPT </w:t>
      </w:r>
      <w:r>
        <w:rPr>
          <w:color w:val="000000"/>
          <w:spacing w:val="0"/>
          <w:w w:val="100"/>
          <w:position w:val="0"/>
          <w:sz w:val="24"/>
          <w:szCs w:val="24"/>
        </w:rPr>
        <w:t>the 17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Annual Activity Report of the ACHPR;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4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AUTHORIZE </w:t>
      </w:r>
      <w:r>
        <w:rPr>
          <w:color w:val="000000"/>
          <w:spacing w:val="0"/>
          <w:w w:val="100"/>
          <w:position w:val="0"/>
          <w:sz w:val="24"/>
          <w:szCs w:val="24"/>
        </w:rPr>
        <w:t>publication of this report, in accordance with the provisions of Article 59 of the African Charter on Human and Peoples’ Rights as well as its attachments.</w:t>
      </w:r>
    </w:p>
    <w:sectPr>
      <w:footnotePr>
        <w:pos w:val="pageBottom"/>
        <w:numFmt w:val="decimal"/>
        <w:numRestart w:val="continuous"/>
      </w:footnotePr>
      <w:pgSz w:w="12240" w:h="16834"/>
      <w:pgMar w:top="2636" w:right="1539" w:bottom="2636" w:left="155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Heading #2_"/>
    <w:basedOn w:val="DefaultParagraphFont"/>
    <w:link w:val="Styl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