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4" w:lineRule="auto"/>
        <w:ind w:left="0" w:right="0" w:firstLine="0"/>
        <w:jc w:val="center"/>
      </w:pPr>
      <w:r>
        <w:rPr>
          <w:b/>
          <w:bCs/>
          <w:color w:val="000000"/>
          <w:spacing w:val="0"/>
          <w:w w:val="100"/>
          <w:position w:val="0"/>
          <w:sz w:val="22"/>
          <w:szCs w:val="22"/>
          <w:u w:val="single"/>
        </w:rPr>
        <w:t>DECISION ON THE REPORT OF THE CONFERENCE OF MINISTERS</w:t>
        <w:br/>
        <w:t>OF EDUCATION OF THE AFRICAN UNION (COMEDAF II)</w:t>
        <w:br/>
        <w:t>DOC. EX.CL/190 (VII)</w:t>
      </w:r>
    </w:p>
    <w:p>
      <w:pPr>
        <w:pStyle w:val="Style5"/>
        <w:keepNext/>
        <w:keepLines/>
        <w:widowControl w:val="0"/>
        <w:shd w:val="clear" w:color="auto" w:fill="auto"/>
        <w:bidi w:val="0"/>
        <w:spacing w:before="0" w:line="252" w:lineRule="auto"/>
        <w:ind w:left="0" w:right="0" w:firstLine="70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25" w:val="left"/>
        </w:tabs>
        <w:bidi w:val="0"/>
        <w:spacing w:before="0" w:line="252" w:lineRule="auto"/>
        <w:ind w:left="0" w:right="0" w:firstLine="70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425" w:val="left"/>
        </w:tabs>
        <w:bidi w:val="0"/>
        <w:spacing w:before="0" w:line="252" w:lineRule="auto"/>
        <w:ind w:left="0" w:right="0" w:firstLine="70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recommendations contained in the said report;</w:t>
      </w:r>
    </w:p>
    <w:p>
      <w:pPr>
        <w:pStyle w:val="Style8"/>
        <w:keepNext w:val="0"/>
        <w:keepLines w:val="0"/>
        <w:widowControl w:val="0"/>
        <w:numPr>
          <w:ilvl w:val="0"/>
          <w:numId w:val="1"/>
        </w:numPr>
        <w:shd w:val="clear" w:color="auto" w:fill="auto"/>
        <w:tabs>
          <w:tab w:pos="1425" w:val="left"/>
        </w:tabs>
        <w:bidi w:val="0"/>
        <w:spacing w:before="0" w:line="240" w:lineRule="auto"/>
        <w:ind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EMPHASIZES </w:t>
      </w:r>
      <w:r>
        <w:rPr>
          <w:color w:val="000000"/>
          <w:spacing w:val="0"/>
          <w:w w:val="100"/>
          <w:position w:val="0"/>
          <w:sz w:val="24"/>
          <w:szCs w:val="24"/>
        </w:rPr>
        <w:t>the importance of education and human resource development for engendering an integrated, peaceful and prosperous Africa;</w:t>
      </w:r>
    </w:p>
    <w:p>
      <w:pPr>
        <w:pStyle w:val="Style8"/>
        <w:keepNext w:val="0"/>
        <w:keepLines w:val="0"/>
        <w:widowControl w:val="0"/>
        <w:numPr>
          <w:ilvl w:val="0"/>
          <w:numId w:val="1"/>
        </w:numPr>
        <w:shd w:val="clear" w:color="auto" w:fill="auto"/>
        <w:tabs>
          <w:tab w:pos="1425" w:val="left"/>
        </w:tabs>
        <w:bidi w:val="0"/>
        <w:spacing w:before="0" w:line="240" w:lineRule="auto"/>
        <w:ind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Member States and RECs for the initiatives they have taken towards improving quality, relevance and access in education during the first Decade of Education for Africa (1997-2006);</w:t>
      </w:r>
    </w:p>
    <w:p>
      <w:pPr>
        <w:pStyle w:val="Style8"/>
        <w:keepNext w:val="0"/>
        <w:keepLines w:val="0"/>
        <w:widowControl w:val="0"/>
        <w:numPr>
          <w:ilvl w:val="0"/>
          <w:numId w:val="1"/>
        </w:numPr>
        <w:shd w:val="clear" w:color="auto" w:fill="auto"/>
        <w:tabs>
          <w:tab w:pos="1425" w:val="left"/>
        </w:tabs>
        <w:bidi w:val="0"/>
        <w:spacing w:before="0" w:line="240" w:lineRule="auto"/>
        <w:ind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RECOGNIZES </w:t>
      </w:r>
      <w:r>
        <w:rPr>
          <w:color w:val="000000"/>
          <w:spacing w:val="0"/>
          <w:w w:val="100"/>
          <w:position w:val="0"/>
          <w:sz w:val="24"/>
          <w:szCs w:val="24"/>
        </w:rPr>
        <w:t>the need for enhanced efforts at national and regional level in order to achieve quality education for all by 2015;</w:t>
      </w:r>
    </w:p>
    <w:p>
      <w:pPr>
        <w:pStyle w:val="Style8"/>
        <w:keepNext w:val="0"/>
        <w:keepLines w:val="0"/>
        <w:widowControl w:val="0"/>
        <w:numPr>
          <w:ilvl w:val="0"/>
          <w:numId w:val="1"/>
        </w:numPr>
        <w:shd w:val="clear" w:color="auto" w:fill="auto"/>
        <w:tabs>
          <w:tab w:pos="1425" w:val="left"/>
        </w:tabs>
        <w:bidi w:val="0"/>
        <w:spacing w:before="0" w:line="240" w:lineRule="auto"/>
        <w:ind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Member States and RECs to collaborate with the Commission in evaluating the impact of the first Decade of Education for Africa;</w:t>
      </w:r>
    </w:p>
    <w:p>
      <w:pPr>
        <w:pStyle w:val="Style8"/>
        <w:keepNext w:val="0"/>
        <w:keepLines w:val="0"/>
        <w:widowControl w:val="0"/>
        <w:numPr>
          <w:ilvl w:val="0"/>
          <w:numId w:val="1"/>
        </w:numPr>
        <w:shd w:val="clear" w:color="auto" w:fill="auto"/>
        <w:tabs>
          <w:tab w:pos="1425" w:val="left"/>
        </w:tabs>
        <w:bidi w:val="0"/>
        <w:spacing w:before="0" w:line="240" w:lineRule="auto"/>
        <w:ind w:right="0" w:hanging="7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convene an Extraordinary Conference of Ministers of Education in November 2005, to consider proposals on the Second Decade of Education for Africa, including the Plan of action for the new Decade, and report to Council and the Assembly on the results of the Extraordinary Session for final decision.</w:t>
      </w:r>
    </w:p>
    <w:sectPr>
      <w:footnotePr>
        <w:pos w:val="pageBottom"/>
        <w:numFmt w:val="decimal"/>
        <w:numRestart w:val="continuous"/>
      </w:footnotePr>
      <w:pgSz w:w="12240" w:h="16834"/>
      <w:pgMar w:top="2223" w:right="1356" w:bottom="2223"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