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VENUE OF THE TWENTY FIFTH</w:t>
        <w:br/>
        <w:t>FRANCE-AFRICA SUMMIT - DOC. EX.CL/205 (VII) Add.1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line="233" w:lineRule="auto"/>
        <w:ind w:right="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offer by the Arab Republic of Egypt to host the Twenty-fifth Session of France-Africa Summit in 2009;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line="240" w:lineRule="auto"/>
        <w:ind w:right="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the importance of cooperation between the African Continent and France, especially at a time when Africa is initiating a new era of integration in which it welcomes intensive dialogue on various issues of development with its major cooperating partners such as France;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line="228" w:lineRule="auto"/>
        <w:ind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ITS DEEP SATISFACTION </w:t>
      </w:r>
      <w:r>
        <w:rPr>
          <w:color w:val="000000"/>
          <w:spacing w:val="0"/>
          <w:w w:val="100"/>
          <w:position w:val="0"/>
          <w:sz w:val="24"/>
          <w:szCs w:val="24"/>
        </w:rPr>
        <w:t>at the current level of cooperation between the two parties since the inception of the process in 1973;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line="233" w:lineRule="auto"/>
        <w:ind w:right="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follow up the issue with the concerned parties, and to submit a report to the next 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059" w:right="1370" w:bottom="2059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