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500" w:after="500" w:line="264" w:lineRule="auto"/>
        <w:ind w:left="0" w:right="0" w:firstLine="0"/>
        <w:jc w:val="center"/>
      </w:pPr>
      <w:r>
        <w:rPr>
          <w:b/>
          <w:bCs/>
          <w:color w:val="000000"/>
          <w:spacing w:val="0"/>
          <w:w w:val="100"/>
          <w:position w:val="0"/>
          <w:sz w:val="22"/>
          <w:szCs w:val="22"/>
          <w:u w:val="single"/>
        </w:rPr>
        <w:t>DECISION ON ADMINISTRATIVE, BUDGETARY</w:t>
        <w:br/>
        <w:t>AND FINANCIAL MATTERS - DOC.EX.CL/175 (Vll)-a</w:t>
      </w:r>
    </w:p>
    <w:p>
      <w:pPr>
        <w:pStyle w:val="Style5"/>
        <w:keepNext/>
        <w:keepLines/>
        <w:widowControl w:val="0"/>
        <w:shd w:val="clear" w:color="auto" w:fill="auto"/>
        <w:bidi w:val="0"/>
        <w:spacing w:before="0" w:line="254" w:lineRule="auto"/>
        <w:ind w:left="0" w:right="0" w:firstLine="70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24" w:val="left"/>
        </w:tabs>
        <w:bidi w:val="0"/>
        <w:spacing w:before="0" w:line="254" w:lineRule="auto"/>
        <w:ind w:left="0" w:right="0" w:firstLine="70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424" w:val="left"/>
        </w:tabs>
        <w:bidi w:val="0"/>
        <w:spacing w:before="0" w:line="240" w:lineRule="auto"/>
        <w:ind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Chairperson of the Commission to ensure strict observance of and compliance with the Financial Rules and Regulations and to timely submit the audited financial reports to the Advisory Sub- Committee on Administrative, Budgetary and Financial Matters, for consideration;</w:t>
      </w:r>
    </w:p>
    <w:p>
      <w:pPr>
        <w:pStyle w:val="Style8"/>
        <w:keepNext w:val="0"/>
        <w:keepLines w:val="0"/>
        <w:widowControl w:val="0"/>
        <w:numPr>
          <w:ilvl w:val="0"/>
          <w:numId w:val="1"/>
        </w:numPr>
        <w:shd w:val="clear" w:color="auto" w:fill="auto"/>
        <w:tabs>
          <w:tab w:pos="1424" w:val="left"/>
        </w:tabs>
        <w:bidi w:val="0"/>
        <w:spacing w:before="0" w:line="240" w:lineRule="auto"/>
        <w:ind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Chairperson of the Commission to design implement an effective system for recovery of outstanding monies from staff and other debtors, and in future where possible the Commission should demand guarantees from suppliers of goods and services;</w:t>
      </w:r>
    </w:p>
    <w:p>
      <w:pPr>
        <w:pStyle w:val="Style8"/>
        <w:keepNext w:val="0"/>
        <w:keepLines w:val="0"/>
        <w:widowControl w:val="0"/>
        <w:numPr>
          <w:ilvl w:val="0"/>
          <w:numId w:val="1"/>
        </w:numPr>
        <w:shd w:val="clear" w:color="auto" w:fill="auto"/>
        <w:tabs>
          <w:tab w:pos="1424" w:val="left"/>
        </w:tabs>
        <w:bidi w:val="0"/>
        <w:spacing w:before="0" w:line="254" w:lineRule="auto"/>
        <w:ind w:left="0" w:right="0" w:firstLine="70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Chairperson of the Commission to:</w:t>
      </w:r>
    </w:p>
    <w:p>
      <w:pPr>
        <w:pStyle w:val="Style8"/>
        <w:keepNext w:val="0"/>
        <w:keepLines w:val="0"/>
        <w:widowControl w:val="0"/>
        <w:numPr>
          <w:ilvl w:val="0"/>
          <w:numId w:val="3"/>
        </w:numPr>
        <w:shd w:val="clear" w:color="auto" w:fill="auto"/>
        <w:tabs>
          <w:tab w:pos="1800" w:val="left"/>
        </w:tabs>
        <w:bidi w:val="0"/>
        <w:spacing w:before="0" w:after="0" w:line="240" w:lineRule="auto"/>
        <w:ind w:right="0" w:firstLine="0"/>
        <w:jc w:val="both"/>
      </w:pPr>
      <w:bookmarkStart w:id="8" w:name="bookmark8"/>
      <w:bookmarkEnd w:id="8"/>
      <w:r>
        <w:rPr>
          <w:color w:val="000000"/>
          <w:spacing w:val="0"/>
          <w:w w:val="100"/>
          <w:position w:val="0"/>
          <w:sz w:val="24"/>
          <w:szCs w:val="24"/>
        </w:rPr>
        <w:t>implement without delay the recommendations of Ernst &amp; Young;</w:t>
      </w:r>
    </w:p>
    <w:p>
      <w:pPr>
        <w:pStyle w:val="Style8"/>
        <w:keepNext w:val="0"/>
        <w:keepLines w:val="0"/>
        <w:widowControl w:val="0"/>
        <w:numPr>
          <w:ilvl w:val="0"/>
          <w:numId w:val="3"/>
        </w:numPr>
        <w:shd w:val="clear" w:color="auto" w:fill="auto"/>
        <w:tabs>
          <w:tab w:pos="1800" w:val="left"/>
        </w:tabs>
        <w:bidi w:val="0"/>
        <w:spacing w:before="0" w:after="0" w:line="230" w:lineRule="auto"/>
        <w:ind w:left="1780" w:right="0" w:hanging="340"/>
        <w:jc w:val="both"/>
      </w:pPr>
      <w:bookmarkStart w:id="9" w:name="bookmark9"/>
      <w:bookmarkEnd w:id="9"/>
      <w:r>
        <w:rPr>
          <w:color w:val="000000"/>
          <w:spacing w:val="0"/>
          <w:w w:val="100"/>
          <w:position w:val="0"/>
          <w:sz w:val="24"/>
          <w:szCs w:val="24"/>
        </w:rPr>
        <w:t>provide Member States with the cost implications of these recommendations; and</w:t>
      </w:r>
    </w:p>
    <w:p>
      <w:pPr>
        <w:pStyle w:val="Style8"/>
        <w:keepNext w:val="0"/>
        <w:keepLines w:val="0"/>
        <w:widowControl w:val="0"/>
        <w:numPr>
          <w:ilvl w:val="0"/>
          <w:numId w:val="3"/>
        </w:numPr>
        <w:shd w:val="clear" w:color="auto" w:fill="auto"/>
        <w:tabs>
          <w:tab w:pos="1800" w:val="left"/>
        </w:tabs>
        <w:bidi w:val="0"/>
        <w:spacing w:before="0" w:line="240" w:lineRule="auto"/>
        <w:ind w:left="1780" w:right="0" w:hanging="340"/>
        <w:jc w:val="both"/>
      </w:pPr>
      <w:bookmarkStart w:id="10" w:name="bookmark10"/>
      <w:bookmarkEnd w:id="10"/>
      <w:r>
        <w:rPr>
          <w:color w:val="000000"/>
          <w:spacing w:val="0"/>
          <w:w w:val="100"/>
          <w:position w:val="0"/>
          <w:sz w:val="24"/>
          <w:szCs w:val="24"/>
        </w:rPr>
        <w:t>institute a tracking mechanism and report regularly on progress made in implementing the Ernst &amp; Young recommendation to the Advisory Sub-Committee on Administrative, Budgetary and Financial Matters;</w:t>
      </w:r>
    </w:p>
    <w:p>
      <w:pPr>
        <w:pStyle w:val="Style8"/>
        <w:keepNext w:val="0"/>
        <w:keepLines w:val="0"/>
        <w:widowControl w:val="0"/>
        <w:numPr>
          <w:ilvl w:val="0"/>
          <w:numId w:val="1"/>
        </w:numPr>
        <w:shd w:val="clear" w:color="auto" w:fill="auto"/>
        <w:tabs>
          <w:tab w:pos="1424" w:val="left"/>
        </w:tabs>
        <w:bidi w:val="0"/>
        <w:spacing w:before="0" w:line="240" w:lineRule="auto"/>
        <w:ind w:right="0" w:hanging="7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ALSO URGES </w:t>
      </w:r>
      <w:r>
        <w:rPr>
          <w:color w:val="000000"/>
          <w:spacing w:val="0"/>
          <w:w w:val="100"/>
          <w:position w:val="0"/>
          <w:sz w:val="24"/>
          <w:szCs w:val="24"/>
        </w:rPr>
        <w:t>the Chairperson of the Commission to design and implement a Financial Management System that would avert fruitless expenditure;</w:t>
      </w:r>
    </w:p>
    <w:p>
      <w:pPr>
        <w:pStyle w:val="Style8"/>
        <w:keepNext w:val="0"/>
        <w:keepLines w:val="0"/>
        <w:widowControl w:val="0"/>
        <w:numPr>
          <w:ilvl w:val="0"/>
          <w:numId w:val="1"/>
        </w:numPr>
        <w:shd w:val="clear" w:color="auto" w:fill="auto"/>
        <w:tabs>
          <w:tab w:pos="1424" w:val="left"/>
        </w:tabs>
        <w:bidi w:val="0"/>
        <w:spacing w:before="0" w:line="240" w:lineRule="auto"/>
        <w:ind w:right="0" w:hanging="72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FRUTHER REQUESTS, </w:t>
      </w:r>
      <w:r>
        <w:rPr>
          <w:color w:val="000000"/>
          <w:spacing w:val="0"/>
          <w:w w:val="100"/>
          <w:position w:val="0"/>
          <w:sz w:val="24"/>
          <w:szCs w:val="24"/>
        </w:rPr>
        <w:t>the Chairperson of the Commission to strengthen the capacity within the Programming, Budgeting, Finance and Accounting Directorate, and ensure timely and improved presentation of financial reports in line with international standards;</w:t>
      </w:r>
    </w:p>
    <w:p>
      <w:pPr>
        <w:pStyle w:val="Style8"/>
        <w:keepNext w:val="0"/>
        <w:keepLines w:val="0"/>
        <w:widowControl w:val="0"/>
        <w:numPr>
          <w:ilvl w:val="0"/>
          <w:numId w:val="1"/>
        </w:numPr>
        <w:shd w:val="clear" w:color="auto" w:fill="auto"/>
        <w:tabs>
          <w:tab w:pos="1424" w:val="left"/>
        </w:tabs>
        <w:bidi w:val="0"/>
        <w:spacing w:before="0" w:line="240" w:lineRule="auto"/>
        <w:ind w:right="0" w:hanging="72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Bureau of the Sub-Committee on Administrative, Budgetary and Financial Matters to liaise on a regular basis with the Commission on the challenges being faced by the Commission in implementing the above recommendations.</w:t>
      </w:r>
    </w:p>
    <w:sectPr>
      <w:footnotePr>
        <w:pos w:val="pageBottom"/>
        <w:numFmt w:val="decimal"/>
        <w:numRestart w:val="continuous"/>
      </w:footnotePr>
      <w:pgSz w:w="12240" w:h="16834"/>
      <w:pgMar w:top="1892" w:right="1364" w:bottom="2683" w:left="14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