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560" w:line="240" w:lineRule="auto"/>
        <w:ind w:left="0" w:right="0" w:firstLine="0"/>
        <w:jc w:val="center"/>
      </w:pPr>
      <w:r>
        <w:rPr>
          <w:b/>
          <w:bCs/>
          <w:color w:val="000000"/>
          <w:spacing w:val="0"/>
          <w:w w:val="100"/>
          <w:position w:val="0"/>
          <w:sz w:val="22"/>
          <w:szCs w:val="22"/>
          <w:u w:val="single"/>
        </w:rPr>
        <w:t xml:space="preserve">DECISION ON THE </w:t>
      </w:r>
      <w:r>
        <w:rPr>
          <w:smallCaps/>
          <w:color w:val="000000"/>
          <w:spacing w:val="0"/>
          <w:w w:val="100"/>
          <w:position w:val="0"/>
          <w:sz w:val="24"/>
          <w:szCs w:val="24"/>
          <w:u w:val="single"/>
        </w:rPr>
        <w:t>18</w:t>
      </w:r>
      <w:r>
        <w:rPr>
          <w:smallCaps/>
          <w:color w:val="000000"/>
          <w:spacing w:val="0"/>
          <w:w w:val="100"/>
          <w:position w:val="0"/>
          <w:sz w:val="24"/>
          <w:szCs w:val="24"/>
          <w:u w:val="single"/>
          <w:vertAlign w:val="superscript"/>
        </w:rPr>
        <w:t>th</w:t>
      </w:r>
      <w:r>
        <w:rPr>
          <w:b/>
          <w:bCs/>
          <w:color w:val="000000"/>
          <w:spacing w:val="0"/>
          <w:w w:val="100"/>
          <w:position w:val="0"/>
          <w:sz w:val="22"/>
          <w:szCs w:val="22"/>
          <w:u w:val="single"/>
        </w:rPr>
        <w:t xml:space="preserve"> ANNUAL ACTIVITY REPORT OF THE</w:t>
        <w:br/>
        <w:t>AFRICAN COMMISSION ON HUMAN AND PEOPLES' RIGHTS (ACHPR)</w:t>
      </w:r>
    </w:p>
    <w:p>
      <w:pPr>
        <w:pStyle w:val="Style6"/>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rPr>
        <w:t>The Executive Council recommends to the Assembly to:</w:t>
      </w:r>
      <w:bookmarkEnd w:id="0"/>
      <w:bookmarkEnd w:id="1"/>
      <w:bookmarkEnd w:id="2"/>
    </w:p>
    <w:p>
      <w:pPr>
        <w:pStyle w:val="Style8"/>
        <w:keepNext w:val="0"/>
        <w:keepLines w:val="0"/>
        <w:widowControl w:val="0"/>
        <w:numPr>
          <w:ilvl w:val="0"/>
          <w:numId w:val="1"/>
        </w:numPr>
        <w:shd w:val="clear" w:color="auto" w:fill="auto"/>
        <w:tabs>
          <w:tab w:pos="1439" w:val="left"/>
        </w:tabs>
        <w:bidi w:val="0"/>
        <w:spacing w:before="0" w:line="230" w:lineRule="auto"/>
        <w:ind w:left="144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ADOPT </w:t>
      </w:r>
      <w:r>
        <w:rPr>
          <w:color w:val="000000"/>
          <w:spacing w:val="0"/>
          <w:w w:val="100"/>
          <w:position w:val="0"/>
          <w:sz w:val="24"/>
          <w:szCs w:val="24"/>
        </w:rPr>
        <w:t>the 18</w:t>
      </w:r>
      <w:r>
        <w:rPr>
          <w:color w:val="000000"/>
          <w:spacing w:val="0"/>
          <w:w w:val="100"/>
          <w:position w:val="0"/>
          <w:sz w:val="24"/>
          <w:szCs w:val="24"/>
          <w:vertAlign w:val="superscript"/>
        </w:rPr>
        <w:t>th</w:t>
      </w:r>
      <w:r>
        <w:rPr>
          <w:color w:val="000000"/>
          <w:spacing w:val="0"/>
          <w:w w:val="100"/>
          <w:position w:val="0"/>
          <w:sz w:val="24"/>
          <w:szCs w:val="24"/>
        </w:rPr>
        <w:t xml:space="preserve"> Annual Activity Report of the African Commission on Human and Peoples' Rights;</w:t>
      </w:r>
    </w:p>
    <w:p>
      <w:pPr>
        <w:pStyle w:val="Style8"/>
        <w:keepNext w:val="0"/>
        <w:keepLines w:val="0"/>
        <w:widowControl w:val="0"/>
        <w:numPr>
          <w:ilvl w:val="0"/>
          <w:numId w:val="1"/>
        </w:numPr>
        <w:shd w:val="clear" w:color="auto" w:fill="auto"/>
        <w:tabs>
          <w:tab w:pos="1439" w:val="left"/>
        </w:tabs>
        <w:bidi w:val="0"/>
        <w:spacing w:before="0" w:line="230" w:lineRule="auto"/>
        <w:ind w:left="144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COMMEND </w:t>
      </w:r>
      <w:r>
        <w:rPr>
          <w:color w:val="000000"/>
          <w:spacing w:val="0"/>
          <w:w w:val="100"/>
          <w:position w:val="0"/>
          <w:sz w:val="24"/>
          <w:szCs w:val="24"/>
        </w:rPr>
        <w:t xml:space="preserve">the African Commission on Human and Peoples' Rights for the work accomplished and </w:t>
      </w:r>
      <w:r>
        <w:rPr>
          <w:rFonts w:ascii="Bookman Old Style" w:eastAsia="Bookman Old Style" w:hAnsi="Bookman Old Style" w:cs="Bookman Old Style"/>
          <w:b/>
          <w:bCs/>
          <w:color w:val="000000"/>
          <w:spacing w:val="0"/>
          <w:w w:val="100"/>
          <w:position w:val="0"/>
          <w:sz w:val="22"/>
          <w:szCs w:val="22"/>
        </w:rPr>
        <w:t xml:space="preserve">URGE </w:t>
      </w:r>
      <w:r>
        <w:rPr>
          <w:color w:val="000000"/>
          <w:spacing w:val="0"/>
          <w:w w:val="100"/>
          <w:position w:val="0"/>
          <w:sz w:val="24"/>
          <w:szCs w:val="24"/>
        </w:rPr>
        <w:t>it to keep it up;</w:t>
      </w:r>
    </w:p>
    <w:p>
      <w:pPr>
        <w:pStyle w:val="Style8"/>
        <w:keepNext w:val="0"/>
        <w:keepLines w:val="0"/>
        <w:widowControl w:val="0"/>
        <w:numPr>
          <w:ilvl w:val="0"/>
          <w:numId w:val="1"/>
        </w:numPr>
        <w:shd w:val="clear" w:color="auto" w:fill="auto"/>
        <w:tabs>
          <w:tab w:pos="1439" w:val="left"/>
        </w:tabs>
        <w:bidi w:val="0"/>
        <w:spacing w:before="0" w:line="233" w:lineRule="auto"/>
        <w:ind w:left="144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AUTHORIZE </w:t>
      </w:r>
      <w:r>
        <w:rPr>
          <w:color w:val="000000"/>
          <w:spacing w:val="0"/>
          <w:w w:val="100"/>
          <w:position w:val="0"/>
          <w:sz w:val="24"/>
          <w:szCs w:val="24"/>
        </w:rPr>
        <w:t>the publication of this Report as well as its annexures in accordance with the provisions of Article 59 of the African Charter on Human and Peoples' Rights;</w:t>
      </w:r>
    </w:p>
    <w:p>
      <w:pPr>
        <w:pStyle w:val="Style8"/>
        <w:keepNext w:val="0"/>
        <w:keepLines w:val="0"/>
        <w:widowControl w:val="0"/>
        <w:numPr>
          <w:ilvl w:val="0"/>
          <w:numId w:val="1"/>
        </w:numPr>
        <w:shd w:val="clear" w:color="auto" w:fill="auto"/>
        <w:tabs>
          <w:tab w:pos="1439" w:val="left"/>
        </w:tabs>
        <w:bidi w:val="0"/>
        <w:spacing w:before="0" w:line="240" w:lineRule="auto"/>
        <w:ind w:left="144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REQUEST </w:t>
      </w:r>
      <w:r>
        <w:rPr>
          <w:color w:val="000000"/>
          <w:spacing w:val="0"/>
          <w:w w:val="100"/>
          <w:position w:val="0"/>
          <w:sz w:val="24"/>
          <w:szCs w:val="24"/>
        </w:rPr>
        <w:t>the African Commission on Human and Peoples' Rights to pursue and complete as soon as possible, the brainstorming on the relations with the various organs and institutions of the African Union in accordance with Decision Assembly/AU/Dec.7 (II);</w:t>
      </w:r>
    </w:p>
    <w:p>
      <w:pPr>
        <w:pStyle w:val="Style8"/>
        <w:keepNext w:val="0"/>
        <w:keepLines w:val="0"/>
        <w:widowControl w:val="0"/>
        <w:numPr>
          <w:ilvl w:val="0"/>
          <w:numId w:val="1"/>
        </w:numPr>
        <w:shd w:val="clear" w:color="auto" w:fill="auto"/>
        <w:tabs>
          <w:tab w:pos="1439" w:val="left"/>
        </w:tabs>
        <w:bidi w:val="0"/>
        <w:spacing w:before="0" w:line="233" w:lineRule="auto"/>
        <w:ind w:left="144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 </w:t>
      </w:r>
      <w:r>
        <w:rPr>
          <w:color w:val="000000"/>
          <w:spacing w:val="0"/>
          <w:w w:val="100"/>
          <w:position w:val="0"/>
          <w:sz w:val="24"/>
          <w:szCs w:val="24"/>
        </w:rPr>
        <w:t>the African Union Commission to avail to the African Commission on Human and Peoples' Rights adequate resources to enable it effectively discharge its mandate;</w:t>
      </w:r>
    </w:p>
    <w:p>
      <w:pPr>
        <w:pStyle w:val="Style8"/>
        <w:keepNext w:val="0"/>
        <w:keepLines w:val="0"/>
        <w:widowControl w:val="0"/>
        <w:numPr>
          <w:ilvl w:val="0"/>
          <w:numId w:val="1"/>
        </w:numPr>
        <w:shd w:val="clear" w:color="auto" w:fill="auto"/>
        <w:tabs>
          <w:tab w:pos="1439" w:val="left"/>
        </w:tabs>
        <w:bidi w:val="0"/>
        <w:spacing w:before="0" w:line="233" w:lineRule="auto"/>
        <w:ind w:left="144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which have not yet done so, to submit their periodic reports in conformity with Article 62 of the African Charter on Human and Peoples' Rights.</w:t>
      </w:r>
    </w:p>
    <w:sectPr>
      <w:footnotePr>
        <w:pos w:val="pageBottom"/>
        <w:numFmt w:val="decimal"/>
        <w:numRestart w:val="continuous"/>
      </w:footnotePr>
      <w:pgSz w:w="12240" w:h="16834"/>
      <w:pgMar w:top="2300" w:right="1370" w:bottom="2300"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