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z w:val="22"/>
          <w:szCs w:val="22"/>
          <w:u w:val="single"/>
        </w:rPr>
        <w:t>DECISION ON THE HOSTING OF UNCTAD XII</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077" w:val="left"/>
        </w:tabs>
        <w:bidi w:val="0"/>
        <w:spacing w:before="0" w:line="240" w:lineRule="auto"/>
        <w:ind w:left="106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decision of UNCTAD XI to award the hosting of the Twelfth Session of the Conference scheduled for 2008 to Africa thus recognizing the special attention that needs to be paid to Africa's trade and development;</w:t>
      </w:r>
    </w:p>
    <w:p>
      <w:pPr>
        <w:pStyle w:val="Style7"/>
        <w:keepNext w:val="0"/>
        <w:keepLines w:val="0"/>
        <w:widowControl w:val="0"/>
        <w:numPr>
          <w:ilvl w:val="0"/>
          <w:numId w:val="1"/>
        </w:numPr>
        <w:shd w:val="clear" w:color="auto" w:fill="auto"/>
        <w:tabs>
          <w:tab w:pos="1077" w:val="left"/>
        </w:tabs>
        <w:bidi w:val="0"/>
        <w:spacing w:before="0" w:line="233" w:lineRule="auto"/>
        <w:ind w:left="106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spirit of fraternity, solidarity and fair distribution demonstrated by the competing countries, in particular Tunisia, to secure the hosting of UNCTAD XII in Africa;</w:t>
      </w:r>
    </w:p>
    <w:p>
      <w:pPr>
        <w:pStyle w:val="Style7"/>
        <w:keepNext w:val="0"/>
        <w:keepLines w:val="0"/>
        <w:widowControl w:val="0"/>
        <w:numPr>
          <w:ilvl w:val="0"/>
          <w:numId w:val="1"/>
        </w:numPr>
        <w:shd w:val="clear" w:color="auto" w:fill="auto"/>
        <w:tabs>
          <w:tab w:pos="1077" w:val="left"/>
        </w:tabs>
        <w:bidi w:val="0"/>
        <w:spacing w:before="0" w:line="214" w:lineRule="auto"/>
        <w:ind w:left="106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COMMENDS </w:t>
      </w:r>
      <w:r>
        <w:rPr>
          <w:color w:val="000000"/>
          <w:spacing w:val="0"/>
          <w:w w:val="100"/>
          <w:position w:val="0"/>
          <w:sz w:val="24"/>
          <w:szCs w:val="24"/>
        </w:rPr>
        <w:t>the Republic of Ghana on its successful bid to host the Conference;</w:t>
      </w:r>
    </w:p>
    <w:p>
      <w:pPr>
        <w:pStyle w:val="Style7"/>
        <w:keepNext w:val="0"/>
        <w:keepLines w:val="0"/>
        <w:widowControl w:val="0"/>
        <w:numPr>
          <w:ilvl w:val="0"/>
          <w:numId w:val="1"/>
        </w:numPr>
        <w:shd w:val="clear" w:color="auto" w:fill="auto"/>
        <w:tabs>
          <w:tab w:pos="1077" w:val="left"/>
        </w:tabs>
        <w:bidi w:val="0"/>
        <w:spacing w:before="0" w:line="233" w:lineRule="auto"/>
        <w:ind w:left="106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MANDATES </w:t>
      </w:r>
      <w:r>
        <w:rPr>
          <w:color w:val="000000"/>
          <w:spacing w:val="0"/>
          <w:w w:val="100"/>
          <w:position w:val="0"/>
          <w:sz w:val="24"/>
          <w:szCs w:val="24"/>
        </w:rPr>
        <w:t>the AU Commission to work closely with the Republic of Ghana to ensure the success of the Conference;</w:t>
      </w:r>
    </w:p>
    <w:p>
      <w:pPr>
        <w:pStyle w:val="Style7"/>
        <w:keepNext w:val="0"/>
        <w:keepLines w:val="0"/>
        <w:widowControl w:val="0"/>
        <w:numPr>
          <w:ilvl w:val="0"/>
          <w:numId w:val="1"/>
        </w:numPr>
        <w:shd w:val="clear" w:color="auto" w:fill="auto"/>
        <w:tabs>
          <w:tab w:pos="1077" w:val="left"/>
        </w:tabs>
        <w:bidi w:val="0"/>
        <w:spacing w:before="0" w:line="226" w:lineRule="auto"/>
        <w:ind w:left="106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all Member States to participate actively and contribute effectively to the outcome of UNCTAD XII.</w:t>
      </w:r>
    </w:p>
    <w:sectPr>
      <w:footnotePr>
        <w:pos w:val="pageBottom"/>
        <w:numFmt w:val="decimal"/>
        <w:numRestart w:val="continuous"/>
      </w:footnotePr>
      <w:pgSz w:w="12240" w:h="16834"/>
      <w:pgMar w:top="2199" w:right="1365" w:bottom="2199"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