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MODLAITIES FOR THE FUNCTIONING OF THE</w:t>
        <w:br/>
        <w:t>CENTRE FOR THE RESEARCH AND STUDY OF TERRORISM</w:t>
        <w:br/>
        <w:t>Doc.EX.CL/195(VII)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line="226" w:lineRule="auto"/>
        <w:ind w:left="1440" w:right="0" w:hanging="72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and recommendations of the Meeting of the PRC and Legal Experts on Legal Matters;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520" w:line="228" w:lineRule="auto"/>
        <w:ind w:left="1440" w:right="0" w:hanging="72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adopt the Modalities for the Functioning of the Centre for the Research and Study on Terrorism as contained in Document EXCL/195 (VII) Annex VI.</w:t>
      </w:r>
    </w:p>
    <w:sectPr>
      <w:footnotePr>
        <w:pos w:val="pageBottom"/>
        <w:numFmt w:val="decimal"/>
        <w:numRestart w:val="continuous"/>
      </w:footnotePr>
      <w:pgSz w:w="12240" w:h="16834"/>
      <w:pgMar w:top="2370" w:right="1380" w:bottom="2370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