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00" w:line="259" w:lineRule="auto"/>
        <w:ind w:left="0" w:right="0" w:firstLine="0"/>
        <w:jc w:val="center"/>
      </w:pPr>
      <w:r>
        <w:rPr>
          <w:b/>
          <w:bCs/>
          <w:color w:val="000000"/>
          <w:spacing w:val="0"/>
          <w:w w:val="100"/>
          <w:position w:val="0"/>
          <w:sz w:val="22"/>
          <w:szCs w:val="22"/>
          <w:u w:val="single"/>
        </w:rPr>
        <w:t>DECISION ON THE CRITERIA FOR HOSTING AU ORGANS</w:t>
        <w:br/>
        <w:t>DOC. EX.CL/195(VII)</w:t>
      </w:r>
    </w:p>
    <w:p>
      <w:pPr>
        <w:pStyle w:val="Style5"/>
        <w:keepNext/>
        <w:keepLines/>
        <w:widowControl w:val="0"/>
        <w:shd w:val="clear" w:color="auto" w:fill="auto"/>
        <w:bidi w:val="0"/>
        <w:spacing w:before="0" w:line="240" w:lineRule="auto"/>
        <w:ind w:left="0" w:right="0" w:firstLine="38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463" w:val="left"/>
        </w:tabs>
        <w:bidi w:val="0"/>
        <w:spacing w:before="0" w:line="233" w:lineRule="auto"/>
        <w:ind w:right="0" w:hanging="320"/>
        <w:jc w:val="left"/>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Meeting of PRC and Legal Experts on Legal Matters and the recommendations contained therein;</w:t>
      </w:r>
    </w:p>
    <w:p>
      <w:pPr>
        <w:pStyle w:val="Style7"/>
        <w:keepNext w:val="0"/>
        <w:keepLines w:val="0"/>
        <w:widowControl w:val="0"/>
        <w:numPr>
          <w:ilvl w:val="0"/>
          <w:numId w:val="1"/>
        </w:numPr>
        <w:shd w:val="clear" w:color="auto" w:fill="auto"/>
        <w:tabs>
          <w:tab w:pos="1463" w:val="left"/>
        </w:tabs>
        <w:bidi w:val="0"/>
        <w:spacing w:before="0" w:line="226" w:lineRule="auto"/>
        <w:ind w:right="0" w:hanging="320"/>
        <w:jc w:val="left"/>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DECIDES </w:t>
      </w:r>
      <w:r>
        <w:rPr>
          <w:color w:val="000000"/>
          <w:spacing w:val="0"/>
          <w:w w:val="100"/>
          <w:position w:val="0"/>
          <w:sz w:val="24"/>
          <w:szCs w:val="24"/>
        </w:rPr>
        <w:t>to adopt the Criteria for Hosting AU Organs as contained in Document EX.CL/195 (VII) Annex IV;</w:t>
      </w:r>
    </w:p>
    <w:p>
      <w:pPr>
        <w:pStyle w:val="Style7"/>
        <w:keepNext w:val="0"/>
        <w:keepLines w:val="0"/>
        <w:widowControl w:val="0"/>
        <w:numPr>
          <w:ilvl w:val="0"/>
          <w:numId w:val="1"/>
        </w:numPr>
        <w:shd w:val="clear" w:color="auto" w:fill="auto"/>
        <w:tabs>
          <w:tab w:pos="1463" w:val="left"/>
        </w:tabs>
        <w:bidi w:val="0"/>
        <w:spacing w:before="0" w:line="230" w:lineRule="auto"/>
        <w:ind w:right="0" w:hanging="32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Regions, to undertake as soon as possible, the necessary consultations to submit the names of the Member States which will host the Headquarters of the Organs allocated to the respective regions.</w:t>
      </w:r>
    </w:p>
    <w:sectPr>
      <w:footnotePr>
        <w:pos w:val="pageBottom"/>
        <w:numFmt w:val="decimal"/>
        <w:numRestart w:val="continuous"/>
      </w:footnotePr>
      <w:pgSz w:w="12240" w:h="16834"/>
      <w:pgMar w:top="2233" w:right="1380" w:bottom="2233"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