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CRITERIA FOR GRANTING OBSERVER</w:t>
        <w:br/>
        <w:t>STATUS AND A SYSTEM OF ACCREDITATION WITHIN THE AU</w:t>
        <w:br/>
        <w:t>Doc. EX.CL/195(VII)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after="300" w:line="228" w:lineRule="auto"/>
        <w:ind w:left="182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Meeting of the PRC and Legal experts on Legal Matters and the recommendations contained therein;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after="300" w:line="209" w:lineRule="auto"/>
        <w:ind w:left="182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accreditation of some non-African States to the Unio;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after="300" w:line="228" w:lineRule="auto"/>
        <w:ind w:left="1820" w:right="0" w:hanging="72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adopt the Criteria for Granting Observer Status and a System of Accreditation within the AU as contained in Document EX.CL/195 (VII) Annex V;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after="300" w:line="214" w:lineRule="auto"/>
        <w:ind w:left="1820" w:right="0" w:hanging="72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AUTHORISES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AU Commission to implement the said Criteria..</w:t>
      </w:r>
    </w:p>
    <w:sectPr>
      <w:footnotePr>
        <w:pos w:val="pageBottom"/>
        <w:numFmt w:val="decimal"/>
        <w:numRestart w:val="continuous"/>
      </w:footnotePr>
      <w:pgSz w:w="12240" w:h="16834"/>
      <w:pgMar w:top="1955" w:right="1383" w:bottom="1955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