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2"/>
          <w:szCs w:val="22"/>
          <w:u w:val="single"/>
        </w:rPr>
        <w:t>DECISION ON THE AFRICAN COMMITTEE OF EXPERTS</w:t>
        <w:br/>
      </w:r>
      <w:r>
        <w:rPr>
          <w:b/>
          <w:bCs/>
          <w:color w:val="000000"/>
          <w:spacing w:val="0"/>
          <w:w w:val="100"/>
          <w:position w:val="0"/>
          <w:sz w:val="22"/>
          <w:szCs w:val="22"/>
        </w:rPr>
        <w:t>ON THE RIGHTS AND WELFARE OF THE CHILD</w:t>
      </w:r>
    </w:p>
    <w:p>
      <w:pPr>
        <w:pStyle w:val="Style6"/>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8"/>
        <w:keepNext w:val="0"/>
        <w:keepLines w:val="0"/>
        <w:widowControl w:val="0"/>
        <w:numPr>
          <w:ilvl w:val="0"/>
          <w:numId w:val="1"/>
        </w:numPr>
        <w:shd w:val="clear" w:color="auto" w:fill="auto"/>
        <w:tabs>
          <w:tab w:pos="1442" w:val="left"/>
        </w:tabs>
        <w:bidi w:val="0"/>
        <w:spacing w:before="0" w:line="221" w:lineRule="auto"/>
        <w:ind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African Committee of Experts on the Rights and Welfare of the Child ;</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Committee for the advocacy role it has played so far in popularizing the African Charter on the Rights and Welfare of the Child;</w:t>
      </w:r>
    </w:p>
    <w:p>
      <w:pPr>
        <w:pStyle w:val="Style8"/>
        <w:keepNext w:val="0"/>
        <w:keepLines w:val="0"/>
        <w:widowControl w:val="0"/>
        <w:numPr>
          <w:ilvl w:val="0"/>
          <w:numId w:val="1"/>
        </w:numPr>
        <w:shd w:val="clear" w:color="auto" w:fill="auto"/>
        <w:tabs>
          <w:tab w:pos="1442" w:val="left"/>
        </w:tabs>
        <w:bidi w:val="0"/>
        <w:spacing w:before="0" w:line="214"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concern about the plight of children especially in conflict areas in Africa;</w:t>
      </w:r>
    </w:p>
    <w:p>
      <w:pPr>
        <w:pStyle w:val="Style8"/>
        <w:keepNext w:val="0"/>
        <w:keepLines w:val="0"/>
        <w:widowControl w:val="0"/>
        <w:numPr>
          <w:ilvl w:val="0"/>
          <w:numId w:val="1"/>
        </w:numPr>
        <w:shd w:val="clear" w:color="auto" w:fill="auto"/>
        <w:tabs>
          <w:tab w:pos="1442" w:val="left"/>
        </w:tabs>
        <w:bidi w:val="0"/>
        <w:spacing w:before="0" w:line="228"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which have not yet done so, to ratify the African Charter on the Rights and Welfare of the Child as a matter of priority;</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invest in children, include matters relating to them in national policies and programmes as well as provide the most vulnerable and excluded children with social protection;</w:t>
      </w:r>
    </w:p>
    <w:p>
      <w:pPr>
        <w:pStyle w:val="Style8"/>
        <w:keepNext w:val="0"/>
        <w:keepLines w:val="0"/>
        <w:widowControl w:val="0"/>
        <w:numPr>
          <w:ilvl w:val="0"/>
          <w:numId w:val="1"/>
        </w:numPr>
        <w:shd w:val="clear" w:color="auto" w:fill="auto"/>
        <w:tabs>
          <w:tab w:pos="1442" w:val="left"/>
        </w:tabs>
        <w:bidi w:val="0"/>
        <w:spacing w:before="0" w:line="233" w:lineRule="auto"/>
        <w:ind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THANKS </w:t>
      </w:r>
      <w:r>
        <w:rPr>
          <w:color w:val="000000"/>
          <w:spacing w:val="0"/>
          <w:w w:val="100"/>
          <w:position w:val="0"/>
          <w:sz w:val="24"/>
          <w:szCs w:val="24"/>
        </w:rPr>
        <w:t>the Chairperson of the Committee as well as those Members whose terms of office comes to an end in July 2005 for serving the Committee with dedication and loyalty;</w:t>
      </w:r>
    </w:p>
    <w:p>
      <w:pPr>
        <w:pStyle w:val="Style8"/>
        <w:keepNext w:val="0"/>
        <w:keepLines w:val="0"/>
        <w:widowControl w:val="0"/>
        <w:numPr>
          <w:ilvl w:val="0"/>
          <w:numId w:val="1"/>
        </w:numPr>
        <w:shd w:val="clear" w:color="auto" w:fill="auto"/>
        <w:tabs>
          <w:tab w:pos="1442" w:val="left"/>
        </w:tabs>
        <w:bidi w:val="0"/>
        <w:spacing w:before="0" w:line="221" w:lineRule="auto"/>
        <w:ind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Member States to continue to support the Committee to carry out its mandate efficiently;</w:t>
      </w:r>
    </w:p>
    <w:p>
      <w:pPr>
        <w:pStyle w:val="Style8"/>
        <w:keepNext w:val="0"/>
        <w:keepLines w:val="0"/>
        <w:widowControl w:val="0"/>
        <w:numPr>
          <w:ilvl w:val="0"/>
          <w:numId w:val="1"/>
        </w:numPr>
        <w:shd w:val="clear" w:color="auto" w:fill="auto"/>
        <w:tabs>
          <w:tab w:pos="1442" w:val="left"/>
        </w:tabs>
        <w:bidi w:val="0"/>
        <w:spacing w:before="0" w:line="240" w:lineRule="auto"/>
        <w:ind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undertake study on the measures required to ensure continuity of the membership of the Committee, including the possibility of the renewal of the mandate of the members for one term;</w:t>
      </w:r>
    </w:p>
    <w:p>
      <w:pPr>
        <w:pStyle w:val="Style8"/>
        <w:keepNext w:val="0"/>
        <w:keepLines w:val="0"/>
        <w:widowControl w:val="0"/>
        <w:numPr>
          <w:ilvl w:val="0"/>
          <w:numId w:val="1"/>
        </w:numPr>
        <w:shd w:val="clear" w:color="auto" w:fill="auto"/>
        <w:tabs>
          <w:tab w:pos="1442" w:val="left"/>
        </w:tabs>
        <w:bidi w:val="0"/>
        <w:spacing w:before="0" w:line="233" w:lineRule="auto"/>
        <w:ind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African Union Commission to strengthen the Committee and to urgently ensure the full and effective functioning of its Secretariat.</w:t>
      </w:r>
    </w:p>
    <w:sectPr>
      <w:footnotePr>
        <w:pos w:val="pageBottom"/>
        <w:numFmt w:val="decimal"/>
        <w:numRestart w:val="continuous"/>
      </w:footnotePr>
      <w:pgSz w:w="12240" w:h="16834"/>
      <w:pgMar w:top="2190" w:right="1361" w:bottom="2190"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