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57" w:lineRule="auto"/>
        <w:ind w:left="0" w:right="0" w:firstLine="0"/>
        <w:jc w:val="center"/>
      </w:pPr>
      <w:r>
        <w:rPr>
          <w:b/>
          <w:bCs/>
          <w:color w:val="000000"/>
          <w:spacing w:val="0"/>
          <w:w w:val="100"/>
          <w:position w:val="0"/>
          <w:sz w:val="22"/>
          <w:szCs w:val="22"/>
          <w:u w:val="single"/>
        </w:rPr>
        <w:t>DECISION ON THE INTERIM REPORT ON THE ESTABLISHMENT</w:t>
        <w:br/>
        <w:t>OF FINANCIAL INSTITUTIONS</w:t>
        <w:br/>
        <w:t>Doc. EX.CL/217 (VIII)</w:t>
      </w:r>
    </w:p>
    <w:p>
      <w:pPr>
        <w:pStyle w:val="Style5"/>
        <w:keepNext/>
        <w:keepLines/>
        <w:widowControl w:val="0"/>
        <w:shd w:val="clear" w:color="auto" w:fill="auto"/>
        <w:bidi w:val="0"/>
        <w:spacing w:before="0" w:line="257"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7"/>
        <w:keepNext w:val="0"/>
        <w:keepLines w:val="0"/>
        <w:widowControl w:val="0"/>
        <w:numPr>
          <w:ilvl w:val="0"/>
          <w:numId w:val="1"/>
        </w:numPr>
        <w:shd w:val="clear" w:color="auto" w:fill="auto"/>
        <w:tabs>
          <w:tab w:pos="721" w:val="left"/>
        </w:tabs>
        <w:bidi w:val="0"/>
        <w:spacing w:before="0" w:line="257" w:lineRule="auto"/>
        <w:ind w:left="0" w:right="0" w:firstLine="0"/>
        <w:jc w:val="left"/>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Interim Report;</w:t>
      </w:r>
    </w:p>
    <w:p>
      <w:pPr>
        <w:pStyle w:val="Style7"/>
        <w:keepNext w:val="0"/>
        <w:keepLines w:val="0"/>
        <w:widowControl w:val="0"/>
        <w:numPr>
          <w:ilvl w:val="0"/>
          <w:numId w:val="1"/>
        </w:numPr>
        <w:shd w:val="clear" w:color="auto" w:fill="auto"/>
        <w:tabs>
          <w:tab w:pos="721" w:val="left"/>
        </w:tabs>
        <w:bidi w:val="0"/>
        <w:spacing w:before="0" w:line="240" w:lineRule="auto"/>
        <w:ind w:left="700" w:right="0"/>
        <w:jc w:val="left"/>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RECALLS </w:t>
      </w:r>
      <w:r>
        <w:rPr>
          <w:color w:val="000000"/>
          <w:spacing w:val="0"/>
          <w:w w:val="100"/>
          <w:position w:val="0"/>
          <w:sz w:val="24"/>
          <w:szCs w:val="24"/>
        </w:rPr>
        <w:t>Assembly Decision AU/Dec.64 of the Fourth Ordinary Session of the Assembly allocating the Headquarters, among others, as follows:</w:t>
      </w:r>
    </w:p>
    <w:p>
      <w:pPr>
        <w:pStyle w:val="Style7"/>
        <w:keepNext w:val="0"/>
        <w:keepLines w:val="0"/>
        <w:widowControl w:val="0"/>
        <w:numPr>
          <w:ilvl w:val="0"/>
          <w:numId w:val="3"/>
        </w:numPr>
        <w:shd w:val="clear" w:color="auto" w:fill="auto"/>
        <w:tabs>
          <w:tab w:pos="1404" w:val="left"/>
        </w:tabs>
        <w:bidi w:val="0"/>
        <w:spacing w:before="0" w:after="0" w:line="240" w:lineRule="auto"/>
        <w:ind w:left="0" w:right="0" w:firstLine="700"/>
        <w:jc w:val="left"/>
      </w:pPr>
      <w:bookmarkStart w:id="5" w:name="bookmark5"/>
      <w:bookmarkEnd w:id="5"/>
      <w:r>
        <w:rPr>
          <w:color w:val="000000"/>
          <w:spacing w:val="0"/>
          <w:w w:val="100"/>
          <w:position w:val="0"/>
          <w:sz w:val="24"/>
          <w:szCs w:val="24"/>
        </w:rPr>
        <w:t>The African Central Bank to West Africa;</w:t>
      </w:r>
    </w:p>
    <w:p>
      <w:pPr>
        <w:pStyle w:val="Style7"/>
        <w:keepNext w:val="0"/>
        <w:keepLines w:val="0"/>
        <w:widowControl w:val="0"/>
        <w:numPr>
          <w:ilvl w:val="0"/>
          <w:numId w:val="3"/>
        </w:numPr>
        <w:shd w:val="clear" w:color="auto" w:fill="auto"/>
        <w:tabs>
          <w:tab w:pos="1404" w:val="left"/>
        </w:tabs>
        <w:bidi w:val="0"/>
        <w:spacing w:before="0" w:after="0" w:line="240" w:lineRule="auto"/>
        <w:ind w:left="0" w:right="0" w:firstLine="700"/>
        <w:jc w:val="left"/>
      </w:pPr>
      <w:bookmarkStart w:id="6" w:name="bookmark6"/>
      <w:bookmarkEnd w:id="6"/>
      <w:r>
        <w:rPr>
          <w:color w:val="000000"/>
          <w:spacing w:val="0"/>
          <w:w w:val="100"/>
          <w:position w:val="0"/>
          <w:sz w:val="24"/>
          <w:szCs w:val="24"/>
        </w:rPr>
        <w:t>The African Investment Bank to North Africa; and</w:t>
      </w:r>
    </w:p>
    <w:p>
      <w:pPr>
        <w:pStyle w:val="Style7"/>
        <w:keepNext w:val="0"/>
        <w:keepLines w:val="0"/>
        <w:widowControl w:val="0"/>
        <w:numPr>
          <w:ilvl w:val="0"/>
          <w:numId w:val="3"/>
        </w:numPr>
        <w:shd w:val="clear" w:color="auto" w:fill="auto"/>
        <w:tabs>
          <w:tab w:pos="1404" w:val="left"/>
        </w:tabs>
        <w:bidi w:val="0"/>
        <w:spacing w:before="0" w:line="240" w:lineRule="auto"/>
        <w:ind w:left="0" w:right="0" w:firstLine="700"/>
        <w:jc w:val="left"/>
      </w:pPr>
      <w:bookmarkStart w:id="7" w:name="bookmark7"/>
      <w:bookmarkEnd w:id="7"/>
      <w:r>
        <w:rPr>
          <w:color w:val="000000"/>
          <w:spacing w:val="0"/>
          <w:w w:val="100"/>
          <w:position w:val="0"/>
          <w:sz w:val="24"/>
          <w:szCs w:val="24"/>
        </w:rPr>
        <w:t>The African Monetary Fund to Central Africa.</w:t>
      </w:r>
    </w:p>
    <w:p>
      <w:pPr>
        <w:pStyle w:val="Style7"/>
        <w:keepNext w:val="0"/>
        <w:keepLines w:val="0"/>
        <w:widowControl w:val="0"/>
        <w:numPr>
          <w:ilvl w:val="0"/>
          <w:numId w:val="1"/>
        </w:numPr>
        <w:shd w:val="clear" w:color="auto" w:fill="auto"/>
        <w:tabs>
          <w:tab w:pos="721" w:val="left"/>
        </w:tabs>
        <w:bidi w:val="0"/>
        <w:spacing w:before="0" w:line="240" w:lineRule="auto"/>
        <w:ind w:left="700" w:right="0"/>
        <w:jc w:val="left"/>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ALSO TAKES NOTE </w:t>
      </w:r>
      <w:r>
        <w:rPr>
          <w:color w:val="000000"/>
          <w:spacing w:val="0"/>
          <w:w w:val="100"/>
          <w:position w:val="0"/>
          <w:sz w:val="24"/>
          <w:szCs w:val="24"/>
        </w:rPr>
        <w:t>of the nomination of the Great Libyan Arab Jamahiriya by North Africa to host the headquarters of the African Investment Bank;</w:t>
      </w:r>
    </w:p>
    <w:p>
      <w:pPr>
        <w:pStyle w:val="Style7"/>
        <w:keepNext w:val="0"/>
        <w:keepLines w:val="0"/>
        <w:widowControl w:val="0"/>
        <w:numPr>
          <w:ilvl w:val="0"/>
          <w:numId w:val="1"/>
        </w:numPr>
        <w:shd w:val="clear" w:color="auto" w:fill="auto"/>
        <w:tabs>
          <w:tab w:pos="721" w:val="left"/>
        </w:tabs>
        <w:bidi w:val="0"/>
        <w:spacing w:before="0" w:line="240" w:lineRule="auto"/>
        <w:ind w:left="700" w:right="0"/>
        <w:jc w:val="left"/>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Central and West Africa regions to take the necessary steps to communicate the names of the countries hosting the African Monetary Fund and the African Central Bank respectively to the Commission by 31 March 2006;</w:t>
      </w:r>
    </w:p>
    <w:p>
      <w:pPr>
        <w:pStyle w:val="Style7"/>
        <w:keepNext w:val="0"/>
        <w:keepLines w:val="0"/>
        <w:widowControl w:val="0"/>
        <w:numPr>
          <w:ilvl w:val="0"/>
          <w:numId w:val="1"/>
        </w:numPr>
        <w:shd w:val="clear" w:color="auto" w:fill="auto"/>
        <w:tabs>
          <w:tab w:pos="721" w:val="left"/>
        </w:tabs>
        <w:bidi w:val="0"/>
        <w:spacing w:before="0" w:line="240" w:lineRule="auto"/>
        <w:ind w:left="700" w:right="0"/>
        <w:jc w:val="left"/>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ALSO REQUESTS </w:t>
      </w:r>
      <w:r>
        <w:rPr>
          <w:color w:val="000000"/>
          <w:spacing w:val="0"/>
          <w:w w:val="100"/>
          <w:position w:val="0"/>
          <w:sz w:val="24"/>
          <w:szCs w:val="24"/>
        </w:rPr>
        <w:t>the Commission to take all the necessary steps to set up the Technical Steering Committees in relation to the establishment of the institutions mentioned-above;</w:t>
      </w:r>
    </w:p>
    <w:p>
      <w:pPr>
        <w:pStyle w:val="Style7"/>
        <w:keepNext w:val="0"/>
        <w:keepLines w:val="0"/>
        <w:widowControl w:val="0"/>
        <w:numPr>
          <w:ilvl w:val="0"/>
          <w:numId w:val="1"/>
        </w:numPr>
        <w:shd w:val="clear" w:color="auto" w:fill="auto"/>
        <w:tabs>
          <w:tab w:pos="721" w:val="left"/>
        </w:tabs>
        <w:bidi w:val="0"/>
        <w:spacing w:before="0" w:line="233" w:lineRule="auto"/>
        <w:ind w:left="700" w:right="0"/>
        <w:jc w:val="left"/>
      </w:pPr>
      <w:bookmarkStart w:id="11" w:name="bookmark11"/>
      <w:bookmarkEnd w:id="11"/>
      <w:r>
        <w:rPr>
          <w:rFonts w:ascii="Bookman Old Style" w:eastAsia="Bookman Old Style" w:hAnsi="Bookman Old Style" w:cs="Bookman Old Style"/>
          <w:b/>
          <w:bCs/>
          <w:color w:val="000000"/>
          <w:spacing w:val="0"/>
          <w:w w:val="100"/>
          <w:position w:val="0"/>
          <w:sz w:val="22"/>
          <w:szCs w:val="22"/>
        </w:rPr>
        <w:t xml:space="preserve">FURTHER REQUESTS </w:t>
      </w:r>
      <w:r>
        <w:rPr>
          <w:color w:val="000000"/>
          <w:spacing w:val="0"/>
          <w:w w:val="100"/>
          <w:position w:val="0"/>
          <w:sz w:val="24"/>
          <w:szCs w:val="24"/>
        </w:rPr>
        <w:t>the Commission to submit a Report to the next Ordinary Session of the Executive Council.</w:t>
      </w:r>
    </w:p>
    <w:sectPr>
      <w:footnotePr>
        <w:pos w:val="pageBottom"/>
        <w:numFmt w:val="decimal"/>
        <w:numRestart w:val="continuous"/>
      </w:footnotePr>
      <w:pgSz w:w="12240" w:h="16834"/>
      <w:pgMar w:top="2588" w:right="1374" w:bottom="2846" w:left="139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