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52" w:lineRule="auto"/>
        <w:ind w:left="0" w:right="0" w:firstLine="0"/>
        <w:jc w:val="center"/>
      </w:pPr>
      <w:r>
        <w:rPr>
          <w:b/>
          <w:bCs/>
          <w:color w:val="000000"/>
          <w:spacing w:val="0"/>
          <w:w w:val="100"/>
          <w:position w:val="0"/>
          <w:sz w:val="22"/>
          <w:szCs w:val="22"/>
          <w:u w:val="single"/>
        </w:rPr>
        <w:t xml:space="preserve">DECISION ON THE </w:t>
      </w:r>
      <w:r>
        <w:rPr>
          <w:smallCaps/>
          <w:color w:val="000000"/>
          <w:spacing w:val="0"/>
          <w:w w:val="100"/>
          <w:position w:val="0"/>
          <w:sz w:val="24"/>
          <w:szCs w:val="24"/>
          <w:u w:val="single"/>
        </w:rPr>
        <w:t>19</w:t>
      </w:r>
      <w:r>
        <w:rPr>
          <w:smallCaps/>
          <w:color w:val="000000"/>
          <w:spacing w:val="0"/>
          <w:w w:val="100"/>
          <w:position w:val="0"/>
          <w:sz w:val="24"/>
          <w:szCs w:val="24"/>
          <w:u w:val="single"/>
          <w:vertAlign w:val="superscript"/>
        </w:rPr>
        <w:t>th</w:t>
      </w:r>
      <w:r>
        <w:rPr>
          <w:b/>
          <w:bCs/>
          <w:color w:val="000000"/>
          <w:spacing w:val="0"/>
          <w:w w:val="100"/>
          <w:position w:val="0"/>
          <w:sz w:val="22"/>
          <w:szCs w:val="22"/>
          <w:u w:val="single"/>
        </w:rPr>
        <w:t xml:space="preserve"> ACTIVITY REPORT OF THE AFRICAN</w:t>
        <w:br/>
        <w:t>COMMISSION ON HUMAN AND PEOPLES’ RIGHTS</w:t>
        <w:br/>
        <w:t>Doc. EX.CL/236 (VIII)</w:t>
      </w:r>
    </w:p>
    <w:p>
      <w:pPr>
        <w:pStyle w:val="Style6"/>
        <w:keepNext/>
        <w:keepLines/>
        <w:widowControl w:val="0"/>
        <w:shd w:val="clear" w:color="auto" w:fill="auto"/>
        <w:bidi w:val="0"/>
        <w:spacing w:before="0" w:after="260" w:line="254" w:lineRule="auto"/>
        <w:ind w:left="0" w:right="0" w:firstLine="0"/>
        <w:jc w:val="left"/>
      </w:pPr>
      <w:bookmarkStart w:id="0" w:name="bookmark0"/>
      <w:bookmarkStart w:id="1" w:name="bookmark1"/>
      <w:bookmarkStart w:id="2" w:name="bookmark2"/>
      <w:r>
        <w:rPr>
          <w:color w:val="000000"/>
          <w:spacing w:val="0"/>
          <w:w w:val="100"/>
          <w:position w:val="0"/>
        </w:rPr>
        <w:t>The Executive Council:</w:t>
      </w:r>
      <w:bookmarkEnd w:id="0"/>
      <w:bookmarkEnd w:id="1"/>
      <w:bookmarkEnd w:id="2"/>
    </w:p>
    <w:p>
      <w:pPr>
        <w:pStyle w:val="Style8"/>
        <w:keepNext w:val="0"/>
        <w:keepLines w:val="0"/>
        <w:widowControl w:val="0"/>
        <w:numPr>
          <w:ilvl w:val="0"/>
          <w:numId w:val="1"/>
        </w:numPr>
        <w:shd w:val="clear" w:color="auto" w:fill="auto"/>
        <w:tabs>
          <w:tab w:pos="720" w:val="left"/>
        </w:tabs>
        <w:bidi w:val="0"/>
        <w:spacing w:before="0" w:after="260" w:line="240" w:lineRule="auto"/>
        <w:ind w:left="0" w:right="0" w:firstLine="0"/>
        <w:jc w:val="left"/>
      </w:pPr>
      <w:bookmarkStart w:id="3" w:name="bookmark3"/>
      <w:bookmarkEnd w:id="3"/>
      <w:r>
        <w:rPr>
          <w:rFonts w:ascii="Bookman Old Style" w:eastAsia="Bookman Old Style" w:hAnsi="Bookman Old Style" w:cs="Bookman Old Style"/>
          <w:b/>
          <w:bCs/>
          <w:color w:val="000000"/>
          <w:spacing w:val="0"/>
          <w:w w:val="100"/>
          <w:position w:val="0"/>
          <w:sz w:val="22"/>
          <w:szCs w:val="22"/>
        </w:rPr>
        <w:t xml:space="preserve">RECOMMENDS </w:t>
      </w:r>
      <w:r>
        <w:rPr>
          <w:color w:val="000000"/>
          <w:spacing w:val="0"/>
          <w:w w:val="100"/>
          <w:position w:val="0"/>
          <w:sz w:val="24"/>
          <w:szCs w:val="24"/>
        </w:rPr>
        <w:t>to the Assembly to:</w:t>
      </w:r>
    </w:p>
    <w:p>
      <w:pPr>
        <w:pStyle w:val="Style8"/>
        <w:keepNext w:val="0"/>
        <w:keepLines w:val="0"/>
        <w:widowControl w:val="0"/>
        <w:numPr>
          <w:ilvl w:val="0"/>
          <w:numId w:val="3"/>
        </w:numPr>
        <w:shd w:val="clear" w:color="auto" w:fill="auto"/>
        <w:tabs>
          <w:tab w:pos="1430" w:val="left"/>
        </w:tabs>
        <w:bidi w:val="0"/>
        <w:spacing w:before="0" w:after="260" w:line="240" w:lineRule="auto"/>
        <w:ind w:right="0"/>
        <w:jc w:val="both"/>
      </w:pPr>
      <w:bookmarkStart w:id="4" w:name="bookmark4"/>
      <w:bookmarkEnd w:id="4"/>
      <w:r>
        <w:rPr>
          <w:rFonts w:ascii="Bookman Old Style" w:eastAsia="Bookman Old Style" w:hAnsi="Bookman Old Style" w:cs="Bookman Old Style"/>
          <w:b/>
          <w:bCs/>
          <w:color w:val="000000"/>
          <w:spacing w:val="0"/>
          <w:w w:val="100"/>
          <w:position w:val="0"/>
          <w:sz w:val="22"/>
          <w:szCs w:val="22"/>
        </w:rPr>
        <w:t xml:space="preserve">Adopt </w:t>
      </w:r>
      <w:r>
        <w:rPr>
          <w:color w:val="000000"/>
          <w:spacing w:val="0"/>
          <w:w w:val="100"/>
          <w:position w:val="0"/>
          <w:sz w:val="24"/>
          <w:szCs w:val="24"/>
        </w:rPr>
        <w:t>and authorize, in accordance with Article 59 of the African Charter on Human and Peoples’ Rights (the Charter), the publication of the 19</w:t>
      </w:r>
      <w:r>
        <w:rPr>
          <w:color w:val="000000"/>
          <w:spacing w:val="0"/>
          <w:w w:val="100"/>
          <w:position w:val="0"/>
          <w:sz w:val="24"/>
          <w:szCs w:val="24"/>
          <w:vertAlign w:val="superscript"/>
        </w:rPr>
        <w:t xml:space="preserve">th </w:t>
      </w:r>
      <w:r>
        <w:rPr>
          <w:color w:val="000000"/>
          <w:spacing w:val="0"/>
          <w:w w:val="100"/>
          <w:position w:val="0"/>
          <w:sz w:val="24"/>
          <w:szCs w:val="24"/>
        </w:rPr>
        <w:t>Activity Report of the African Commission on Human and Peoples’ Rights (ACHPR) and its annexes, except for those containing the Resolutions on Eritrea, Ethiopia, the Sudan, Uganda and Zimbabwe;</w:t>
      </w:r>
    </w:p>
    <w:p>
      <w:pPr>
        <w:pStyle w:val="Style8"/>
        <w:keepNext w:val="0"/>
        <w:keepLines w:val="0"/>
        <w:widowControl w:val="0"/>
        <w:numPr>
          <w:ilvl w:val="0"/>
          <w:numId w:val="3"/>
        </w:numPr>
        <w:shd w:val="clear" w:color="auto" w:fill="auto"/>
        <w:tabs>
          <w:tab w:pos="1430" w:val="left"/>
        </w:tabs>
        <w:bidi w:val="0"/>
        <w:spacing w:before="0" w:after="260" w:line="240" w:lineRule="auto"/>
        <w:ind w:right="0"/>
        <w:jc w:val="both"/>
      </w:pPr>
      <w:bookmarkStart w:id="5" w:name="bookmark5"/>
      <w:bookmarkEnd w:id="5"/>
      <w:r>
        <w:rPr>
          <w:rFonts w:ascii="Bookman Old Style" w:eastAsia="Bookman Old Style" w:hAnsi="Bookman Old Style" w:cs="Bookman Old Style"/>
          <w:b/>
          <w:bCs/>
          <w:color w:val="000000"/>
          <w:spacing w:val="0"/>
          <w:w w:val="100"/>
          <w:position w:val="0"/>
          <w:sz w:val="22"/>
          <w:szCs w:val="22"/>
        </w:rPr>
        <w:t xml:space="preserve">Request </w:t>
      </w:r>
      <w:r>
        <w:rPr>
          <w:color w:val="000000"/>
          <w:spacing w:val="0"/>
          <w:w w:val="100"/>
          <w:position w:val="0"/>
          <w:sz w:val="24"/>
          <w:szCs w:val="24"/>
        </w:rPr>
        <w:t>the concerned Member States to make available to the African Commission on Human and Peoples’ Rights within three (3) months of the adoption of the present Decision, their views on the said Resolutions and the ACHPR to submit a Report thereon to the next Ordinary Session of the Executive Council;</w:t>
      </w:r>
    </w:p>
    <w:p>
      <w:pPr>
        <w:pStyle w:val="Style8"/>
        <w:keepNext w:val="0"/>
        <w:keepLines w:val="0"/>
        <w:widowControl w:val="0"/>
        <w:numPr>
          <w:ilvl w:val="0"/>
          <w:numId w:val="3"/>
        </w:numPr>
        <w:shd w:val="clear" w:color="auto" w:fill="auto"/>
        <w:tabs>
          <w:tab w:pos="1430" w:val="left"/>
        </w:tabs>
        <w:bidi w:val="0"/>
        <w:spacing w:before="0" w:after="260" w:line="240" w:lineRule="auto"/>
        <w:ind w:right="0"/>
        <w:jc w:val="both"/>
      </w:pPr>
      <w:bookmarkStart w:id="6" w:name="bookmark6"/>
      <w:bookmarkEnd w:id="6"/>
      <w:r>
        <w:rPr>
          <w:rFonts w:ascii="Bookman Old Style" w:eastAsia="Bookman Old Style" w:hAnsi="Bookman Old Style" w:cs="Bookman Old Style"/>
          <w:b/>
          <w:bCs/>
          <w:color w:val="000000"/>
          <w:spacing w:val="0"/>
          <w:w w:val="100"/>
          <w:position w:val="0"/>
          <w:sz w:val="22"/>
          <w:szCs w:val="22"/>
        </w:rPr>
        <w:t xml:space="preserve">Call </w:t>
      </w:r>
      <w:r>
        <w:rPr>
          <w:color w:val="000000"/>
          <w:spacing w:val="0"/>
          <w:w w:val="100"/>
          <w:position w:val="0"/>
          <w:sz w:val="24"/>
          <w:szCs w:val="24"/>
        </w:rPr>
        <w:t>upon the ACHPR to ensure that in future, it enlists the responses of all parties to its Resolutions and Decisions before submitting them to the Executive Council and/or the Assembly for consideration.</w:t>
      </w:r>
    </w:p>
    <w:p>
      <w:pPr>
        <w:pStyle w:val="Style8"/>
        <w:keepNext w:val="0"/>
        <w:keepLines w:val="0"/>
        <w:widowControl w:val="0"/>
        <w:numPr>
          <w:ilvl w:val="0"/>
          <w:numId w:val="1"/>
        </w:numPr>
        <w:shd w:val="clear" w:color="auto" w:fill="auto"/>
        <w:tabs>
          <w:tab w:pos="720" w:val="left"/>
        </w:tabs>
        <w:bidi w:val="0"/>
        <w:spacing w:before="0" w:after="260" w:line="240" w:lineRule="auto"/>
        <w:ind w:left="700" w:right="0"/>
        <w:jc w:val="both"/>
      </w:pPr>
      <w:bookmarkStart w:id="7" w:name="bookmark7"/>
      <w:bookmarkEnd w:id="7"/>
      <w:r>
        <w:rPr>
          <w:rFonts w:ascii="Bookman Old Style" w:eastAsia="Bookman Old Style" w:hAnsi="Bookman Old Style" w:cs="Bookman Old Style"/>
          <w:b/>
          <w:bCs/>
          <w:color w:val="000000"/>
          <w:spacing w:val="0"/>
          <w:w w:val="100"/>
          <w:position w:val="0"/>
          <w:sz w:val="22"/>
          <w:szCs w:val="22"/>
        </w:rPr>
        <w:t xml:space="preserve">WELCOMES </w:t>
      </w:r>
      <w:r>
        <w:rPr>
          <w:color w:val="000000"/>
          <w:spacing w:val="0"/>
          <w:w w:val="100"/>
          <w:position w:val="0"/>
          <w:sz w:val="24"/>
          <w:szCs w:val="24"/>
        </w:rPr>
        <w:t>the entry into force of the Protocol to the African Charter on Human and Peoples’ Rights on the Rights of Women in Africa on 25</w:t>
      </w:r>
      <w:r>
        <w:rPr>
          <w:color w:val="000000"/>
          <w:spacing w:val="0"/>
          <w:w w:val="100"/>
          <w:position w:val="0"/>
          <w:sz w:val="24"/>
          <w:szCs w:val="24"/>
          <w:vertAlign w:val="superscript"/>
        </w:rPr>
        <w:t>th</w:t>
      </w:r>
      <w:r>
        <w:rPr>
          <w:color w:val="000000"/>
          <w:spacing w:val="0"/>
          <w:w w:val="100"/>
          <w:position w:val="0"/>
          <w:sz w:val="24"/>
          <w:szCs w:val="24"/>
        </w:rPr>
        <w:t xml:space="preserve"> November 2005 and </w:t>
      </w:r>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which have not yet done so to ratify/accede to the Protocol;</w:t>
      </w:r>
    </w:p>
    <w:p>
      <w:pPr>
        <w:pStyle w:val="Style8"/>
        <w:keepNext w:val="0"/>
        <w:keepLines w:val="0"/>
        <w:widowControl w:val="0"/>
        <w:numPr>
          <w:ilvl w:val="0"/>
          <w:numId w:val="1"/>
        </w:numPr>
        <w:shd w:val="clear" w:color="auto" w:fill="auto"/>
        <w:tabs>
          <w:tab w:pos="720" w:val="left"/>
        </w:tabs>
        <w:bidi w:val="0"/>
        <w:spacing w:before="0" w:after="260" w:line="240" w:lineRule="auto"/>
        <w:ind w:left="700" w:right="0"/>
        <w:jc w:val="both"/>
      </w:pPr>
      <w:bookmarkStart w:id="8" w:name="bookmark8"/>
      <w:bookmarkEnd w:id="8"/>
      <w:r>
        <w:rPr>
          <w:rFonts w:ascii="Bookman Old Style" w:eastAsia="Bookman Old Style" w:hAnsi="Bookman Old Style" w:cs="Bookman Old Style"/>
          <w:b/>
          <w:bCs/>
          <w:color w:val="000000"/>
          <w:spacing w:val="0"/>
          <w:w w:val="100"/>
          <w:position w:val="0"/>
          <w:sz w:val="22"/>
          <w:szCs w:val="22"/>
        </w:rPr>
        <w:t xml:space="preserve">REITERATES </w:t>
      </w:r>
      <w:r>
        <w:rPr>
          <w:color w:val="000000"/>
          <w:spacing w:val="0"/>
          <w:w w:val="100"/>
          <w:position w:val="0"/>
          <w:sz w:val="24"/>
          <w:szCs w:val="24"/>
        </w:rPr>
        <w:t>its request to the AU Commission to allocate adequate resources from its operational budget to the ACHPR as provided for in Article 41 of the Charter to enable the ACHPR discharge independently its mandate under the Charter;</w:t>
      </w:r>
    </w:p>
    <w:p>
      <w:pPr>
        <w:pStyle w:val="Style8"/>
        <w:keepNext w:val="0"/>
        <w:keepLines w:val="0"/>
        <w:widowControl w:val="0"/>
        <w:numPr>
          <w:ilvl w:val="0"/>
          <w:numId w:val="1"/>
        </w:numPr>
        <w:shd w:val="clear" w:color="auto" w:fill="auto"/>
        <w:tabs>
          <w:tab w:pos="720" w:val="left"/>
        </w:tabs>
        <w:bidi w:val="0"/>
        <w:spacing w:before="0" w:after="260" w:line="240" w:lineRule="auto"/>
        <w:ind w:left="700" w:right="0"/>
        <w:jc w:val="both"/>
      </w:pPr>
      <w:bookmarkStart w:id="9" w:name="bookmark9"/>
      <w:bookmarkEnd w:id="9"/>
      <w:r>
        <w:rPr>
          <w:rFonts w:ascii="Bookman Old Style" w:eastAsia="Bookman Old Style" w:hAnsi="Bookman Old Style" w:cs="Bookman Old Style"/>
          <w:b/>
          <w:bCs/>
          <w:color w:val="000000"/>
          <w:spacing w:val="0"/>
          <w:w w:val="100"/>
          <w:position w:val="0"/>
          <w:sz w:val="22"/>
          <w:szCs w:val="22"/>
        </w:rPr>
        <w:t xml:space="preserve">URGES </w:t>
      </w:r>
      <w:r>
        <w:rPr>
          <w:color w:val="000000"/>
          <w:spacing w:val="0"/>
          <w:w w:val="100"/>
          <w:position w:val="0"/>
          <w:sz w:val="24"/>
          <w:szCs w:val="24"/>
        </w:rPr>
        <w:t>Member States, which have not yet done so, to present their outstanding periodic reports to the ACHPR in accordance with Article 62 of the Charter;</w:t>
      </w:r>
    </w:p>
    <w:p>
      <w:pPr>
        <w:pStyle w:val="Style8"/>
        <w:keepNext w:val="0"/>
        <w:keepLines w:val="0"/>
        <w:widowControl w:val="0"/>
        <w:numPr>
          <w:ilvl w:val="0"/>
          <w:numId w:val="1"/>
        </w:numPr>
        <w:shd w:val="clear" w:color="auto" w:fill="auto"/>
        <w:tabs>
          <w:tab w:pos="720" w:val="left"/>
        </w:tabs>
        <w:bidi w:val="0"/>
        <w:spacing w:before="0" w:after="260" w:line="240" w:lineRule="auto"/>
        <w:ind w:left="700" w:right="0"/>
        <w:jc w:val="both"/>
      </w:pPr>
      <w:bookmarkStart w:id="10" w:name="bookmark10"/>
      <w:bookmarkEnd w:id="10"/>
      <w:r>
        <w:rPr>
          <w:rFonts w:ascii="Bookman Old Style" w:eastAsia="Bookman Old Style" w:hAnsi="Bookman Old Style" w:cs="Bookman Old Style"/>
          <w:b/>
          <w:bCs/>
          <w:color w:val="000000"/>
          <w:spacing w:val="0"/>
          <w:w w:val="100"/>
          <w:position w:val="0"/>
          <w:sz w:val="22"/>
          <w:szCs w:val="22"/>
        </w:rPr>
        <w:t xml:space="preserve">REQUESTS </w:t>
      </w:r>
      <w:r>
        <w:rPr>
          <w:color w:val="000000"/>
          <w:spacing w:val="0"/>
          <w:w w:val="100"/>
          <w:position w:val="0"/>
          <w:sz w:val="24"/>
          <w:szCs w:val="24"/>
        </w:rPr>
        <w:t>the ACHPR to complete, as soon as possible, the work undertaken on its relations with the various organs and institutions of the African Union, including the African Court on Human and Peoples’ Rights; and to submit to it, appropriate recommendations relating thereto;</w:t>
      </w:r>
    </w:p>
    <w:p>
      <w:pPr>
        <w:pStyle w:val="Style8"/>
        <w:keepNext w:val="0"/>
        <w:keepLines w:val="0"/>
        <w:widowControl w:val="0"/>
        <w:numPr>
          <w:ilvl w:val="0"/>
          <w:numId w:val="1"/>
        </w:numPr>
        <w:shd w:val="clear" w:color="auto" w:fill="auto"/>
        <w:tabs>
          <w:tab w:pos="720" w:val="left"/>
        </w:tabs>
        <w:bidi w:val="0"/>
        <w:spacing w:before="0" w:after="260" w:line="233" w:lineRule="auto"/>
        <w:ind w:left="700" w:right="0"/>
        <w:jc w:val="both"/>
      </w:pPr>
      <w:bookmarkStart w:id="11" w:name="bookmark11"/>
      <w:bookmarkEnd w:id="11"/>
      <w:r>
        <w:rPr>
          <w:rFonts w:ascii="Bookman Old Style" w:eastAsia="Bookman Old Style" w:hAnsi="Bookman Old Style" w:cs="Bookman Old Style"/>
          <w:b/>
          <w:bCs/>
          <w:color w:val="000000"/>
          <w:spacing w:val="0"/>
          <w:w w:val="100"/>
          <w:position w:val="0"/>
          <w:sz w:val="22"/>
          <w:szCs w:val="22"/>
        </w:rPr>
        <w:t xml:space="preserve">ALSO REQUESTS </w:t>
      </w:r>
      <w:r>
        <w:rPr>
          <w:color w:val="000000"/>
          <w:spacing w:val="0"/>
          <w:w w:val="100"/>
          <w:position w:val="0"/>
          <w:sz w:val="24"/>
          <w:szCs w:val="24"/>
        </w:rPr>
        <w:t>the ACHPR to take part in the process of operationalization of the African Court on Human and Peoples’ Rights.</w:t>
      </w:r>
    </w:p>
    <w:sectPr>
      <w:footnotePr>
        <w:pos w:val="pageBottom"/>
        <w:numFmt w:val="decimal"/>
        <w:numRestart w:val="continuous"/>
      </w:footnotePr>
      <w:pgSz w:w="12240" w:h="16834"/>
      <w:pgMar w:top="2029" w:right="1366" w:bottom="1931" w:left="139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abstractNum w:abstractNumId="2">
    <w:multiLevelType w:val="multilevel"/>
    <w:lvl w:ilvl="0">
      <w:start w:val="1"/>
      <w:numFmt w:val="lowerRoman"/>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character" w:customStyle="1" w:styleId="CharStyle9">
    <w:name w:val="Body text (6)_"/>
    <w:basedOn w:val="DefaultParagraphFont"/>
    <w:link w:val="Style8"/>
    <w:rPr>
      <w:rFonts w:ascii="Arial" w:eastAsia="Arial" w:hAnsi="Arial" w:cs="Arial"/>
      <w:b w:val="0"/>
      <w:bCs w:val="0"/>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 w:type="paragraph" w:customStyle="1" w:styleId="Style8">
    <w:name w:val="Body text (6)"/>
    <w:basedOn w:val="Normal"/>
    <w:link w:val="CharStyle9"/>
    <w:pPr>
      <w:widowControl w:val="0"/>
      <w:shd w:val="clear" w:color="auto" w:fill="auto"/>
      <w:spacing w:after="280"/>
      <w:ind w:left="1420" w:hanging="700"/>
    </w:pPr>
    <w:rPr>
      <w:rFonts w:ascii="Arial" w:eastAsia="Arial" w:hAnsi="Arial" w:cs="Arial"/>
      <w:b w:val="0"/>
      <w:bCs w:val="0"/>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