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REVISED CHARTER FOR THE</w:t>
        <w:br/>
        <w:t>CULTURAL RENAISSANCE OF AFRICA</w:t>
        <w:br/>
        <w:t>Doc. EX.CL/223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line="221" w:lineRule="auto"/>
        <w:ind w:left="108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Revised Charter for the Cultural Renaissance of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line="240" w:lineRule="auto"/>
        <w:ind w:left="108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revised Charter for the Cultural Renaissance of Africa, as recommended by the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Session of AU Conference of Ministers of Culture;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line="221" w:lineRule="auto"/>
        <w:ind w:left="0" w:right="0" w:firstLine="34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revised Charter to the Assembly for adoption;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line="218" w:lineRule="auto"/>
        <w:ind w:left="1080" w:right="0" w:hanging="72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follow-up the signing and ratification of the revised Charter.</w:t>
      </w:r>
    </w:p>
    <w:sectPr>
      <w:footnotePr>
        <w:pos w:val="pageBottom"/>
        <w:numFmt w:val="decimal"/>
        <w:numRestart w:val="continuous"/>
      </w:footnotePr>
      <w:pgSz w:w="12240" w:h="16834"/>
      <w:pgMar w:top="2877" w:right="1375" w:bottom="2877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