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STATUTES OF THE AFRICAN</w:t>
        <w:br/>
        <w:t>ACADEMY OF LANGUAGES (ACALAN)</w:t>
        <w:br/>
        <w:t>Doc. EX.CL/223 (VIII)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line="233" w:lineRule="auto"/>
        <w:ind w:left="0" w:right="0" w:firstLine="0"/>
        <w:jc w:val="left"/>
      </w:pPr>
      <w:bookmarkStart w:id="0" w:name="bookmark0"/>
      <w:bookmarkEnd w:id="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line="233" w:lineRule="auto"/>
        <w:ind w:left="700" w:right="0"/>
        <w:jc w:val="left"/>
      </w:pPr>
      <w:bookmarkStart w:id="1" w:name="bookmark1"/>
      <w:bookmarkEnd w:id="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 CM/Dec.613 (LXXIV) on the Establishment of the African Academy of Languages (ACALAN) adopted by the Council of Ministers of the OAU in Lusaka, Zambia, in July 2001;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line="230" w:lineRule="auto"/>
        <w:ind w:left="700" w:right="0"/>
        <w:jc w:val="left"/>
      </w:pPr>
      <w:bookmarkStart w:id="2" w:name="bookmark2"/>
      <w:bookmarkEnd w:id="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Draft Statutes for the establishment of the African Academy of Languages (ACALAN) as an AU Specialized Office to be located in Bamako, Republic of Mali;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line="233" w:lineRule="auto"/>
        <w:ind w:left="0" w:right="0" w:firstLine="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Government of the Republic of Mali for hosting the ACALAN;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line="233" w:lineRule="auto"/>
        <w:ind w:left="0" w:right="0" w:firstLine="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Draft Statutes to the Assembly for adoption;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line="221" w:lineRule="auto"/>
        <w:ind w:left="70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follow-up on the establishment and overall activities of ACALAN;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line="233" w:lineRule="auto"/>
        <w:ind w:left="700" w:right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UNESCO and other relevant partners to support and cooperate with the Commission in promoting the activities of ACALAN.</w:t>
      </w:r>
    </w:p>
    <w:sectPr>
      <w:footnotePr>
        <w:pos w:val="pageBottom"/>
        <w:numFmt w:val="decimal"/>
        <w:numRestart w:val="continuous"/>
      </w:footnotePr>
      <w:pgSz w:w="12240" w:h="16834"/>
      <w:pgMar w:top="2894" w:right="1373" w:bottom="2894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