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SPECIAL PURPOSE AUDIT</w:t>
        <w:br/>
        <w:t>DOC. EX.CL/247 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63" w:val="left"/>
        </w:tabs>
        <w:bidi w:val="0"/>
        <w:spacing w:before="0" w:after="260" w:line="233" w:lineRule="auto"/>
        <w:ind w:left="1060" w:right="0" w:firstLine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special purpose audit report;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763" w:val="left"/>
        </w:tabs>
        <w:bidi w:val="0"/>
        <w:spacing w:before="0" w:after="260" w:line="240" w:lineRule="auto"/>
        <w:ind w:left="1060" w:right="0" w:firstLine="0"/>
        <w:jc w:val="left"/>
      </w:pPr>
      <w:bookmarkStart w:id="4" w:name="bookmark4"/>
      <w:bookmarkStart w:id="5" w:name="bookmark5"/>
      <w:bookmarkStart w:id="6" w:name="bookmark6"/>
      <w:bookmarkStart w:id="7" w:name="bookmark7"/>
      <w:bookmarkEnd w:id="6"/>
      <w:r>
        <w:rPr>
          <w:color w:val="000000"/>
          <w:spacing w:val="0"/>
          <w:w w:val="100"/>
          <w:position w:val="0"/>
        </w:rPr>
        <w:t>DECIDES THAT:</w:t>
      </w:r>
      <w:bookmarkEnd w:id="4"/>
      <w:bookmarkEnd w:id="5"/>
      <w:bookmarkEnd w:id="7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54" w:val="left"/>
        </w:tabs>
        <w:bidi w:val="0"/>
        <w:spacing w:before="0" w:after="260" w:line="233" w:lineRule="auto"/>
        <w:ind w:left="2460" w:right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The report be resubmitted to the Chairperson of the Commission for further consideration who, working in collaboration with the PRC through its Sub-Committee on Advisory, Financial and Budgetary Matters, and Ernst &amp; Young, shall determine any wrong doing and apply the appropriate provisions of the Financial Rules and Regulations for any wrong doing detected;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54" w:val="left"/>
        </w:tabs>
        <w:bidi w:val="0"/>
        <w:spacing w:before="0" w:after="260" w:line="233" w:lineRule="auto"/>
        <w:ind w:left="2460" w:right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shall submit a report to the Executive Council in January 2007.</w:t>
      </w:r>
    </w:p>
    <w:sectPr>
      <w:footnotePr>
        <w:pos w:val="pageBottom"/>
        <w:numFmt w:val="decimal"/>
        <w:numRestart w:val="continuous"/>
      </w:footnotePr>
      <w:pgSz w:w="12240" w:h="16834"/>
      <w:pgMar w:top="3340" w:right="1496" w:bottom="3340" w:left="15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