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NEW FINANCIAL RULES AND REGULATIONS</w:t>
        <w:br/>
        <w:t>DOC. EX.CL/250 (IX)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38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1737" w:val="left"/>
        </w:tabs>
        <w:bidi w:val="0"/>
        <w:spacing w:before="0" w:line="240" w:lineRule="auto"/>
        <w:ind w:left="1060" w:right="0" w:firstLine="0"/>
        <w:jc w:val="left"/>
        <w:rPr>
          <w:sz w:val="24"/>
          <w:szCs w:val="24"/>
        </w:rPr>
      </w:pPr>
      <w:bookmarkStart w:id="0" w:name="bookmark0"/>
      <w:bookmarkStart w:id="1" w:name="bookmark1"/>
      <w:bookmarkStart w:id="3" w:name="bookmark3"/>
      <w:bookmarkStart w:id="4" w:name="bookmark4"/>
      <w:bookmarkEnd w:id="3"/>
      <w:r>
        <w:rPr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of the report;</w:t>
      </w:r>
      <w:bookmarkEnd w:id="0"/>
      <w:bookmarkEnd w:id="1"/>
      <w:bookmarkEnd w:id="4"/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737" w:val="left"/>
        </w:tabs>
        <w:bidi w:val="0"/>
        <w:spacing w:before="0" w:line="226" w:lineRule="auto"/>
        <w:ind w:left="1760" w:right="0"/>
        <w:jc w:val="left"/>
      </w:pPr>
      <w:bookmarkStart w:id="5" w:name="bookmark5"/>
      <w:bookmarkEnd w:id="5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RECOMMENDS </w:t>
      </w:r>
      <w:r>
        <w:rPr>
          <w:color w:val="000000"/>
          <w:spacing w:val="0"/>
          <w:w w:val="100"/>
          <w:position w:val="0"/>
          <w:sz w:val="24"/>
          <w:szCs w:val="24"/>
        </w:rPr>
        <w:t>for adoption by the Assembly of the new Financial Rules and Regulations of the African Union;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737" w:val="left"/>
        </w:tabs>
        <w:bidi w:val="0"/>
        <w:spacing w:before="0" w:line="223" w:lineRule="auto"/>
        <w:ind w:left="1760" w:right="0"/>
        <w:jc w:val="left"/>
      </w:pPr>
      <w:bookmarkStart w:id="6" w:name="bookmark6"/>
      <w:bookmarkEnd w:id="6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Chairperson of the Commission to take the necessary measures to implement scrupulously the provisions of the said rules and regulations.</w:t>
      </w:r>
    </w:p>
    <w:sectPr>
      <w:footnotePr>
        <w:pos w:val="pageBottom"/>
        <w:numFmt w:val="decimal"/>
        <w:numRestart w:val="continuous"/>
      </w:footnotePr>
      <w:pgSz w:w="12240" w:h="16834"/>
      <w:pgMar w:top="3107" w:right="1502" w:bottom="3107" w:left="152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9">
    <w:name w:val="Body text (6)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8">
    <w:name w:val="Body text (6)"/>
    <w:basedOn w:val="Normal"/>
    <w:link w:val="CharStyle9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