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AFRICAN COMMITTEE OF EXPERTS ON</w:t>
        <w:br/>
      </w:r>
      <w:r>
        <w:rPr>
          <w:b/>
          <w:bCs/>
          <w:color w:val="000000"/>
          <w:spacing w:val="0"/>
          <w:w w:val="100"/>
          <w:position w:val="0"/>
          <w:sz w:val="22"/>
          <w:szCs w:val="22"/>
        </w:rPr>
        <w:t>THE RIGHTS AND WELFARE OF THE CHILD</w:t>
      </w:r>
    </w:p>
    <w:p>
      <w:pPr>
        <w:pStyle w:val="Style2"/>
        <w:keepNext w:val="0"/>
        <w:keepLines w:val="0"/>
        <w:widowControl w:val="0"/>
        <w:shd w:val="clear" w:color="auto" w:fill="auto"/>
        <w:bidi w:val="0"/>
        <w:spacing w:before="0" w:after="520" w:line="259" w:lineRule="auto"/>
        <w:ind w:left="0" w:right="0" w:firstLine="0"/>
        <w:jc w:val="center"/>
      </w:pPr>
      <w:r>
        <w:rPr>
          <w:b/>
          <w:bCs/>
          <w:color w:val="000000"/>
          <w:spacing w:val="0"/>
          <w:w w:val="100"/>
          <w:position w:val="0"/>
          <w:sz w:val="22"/>
          <w:szCs w:val="22"/>
          <w:u w:val="single"/>
        </w:rPr>
        <w:t>DOC. EX.CL/275 (IX)</w:t>
      </w:r>
    </w:p>
    <w:p>
      <w:pPr>
        <w:pStyle w:val="Style6"/>
        <w:keepNext/>
        <w:keepLines/>
        <w:widowControl w:val="0"/>
        <w:shd w:val="clear" w:color="auto" w:fill="auto"/>
        <w:bidi w:val="0"/>
        <w:spacing w:before="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6"/>
        <w:keepNext/>
        <w:keepLines/>
        <w:widowControl w:val="0"/>
        <w:numPr>
          <w:ilvl w:val="0"/>
          <w:numId w:val="1"/>
        </w:numPr>
        <w:shd w:val="clear" w:color="auto" w:fill="auto"/>
        <w:tabs>
          <w:tab w:pos="1498" w:val="left"/>
        </w:tabs>
        <w:bidi w:val="0"/>
        <w:spacing w:before="0" w:line="254" w:lineRule="auto"/>
        <w:ind w:left="0" w:right="0" w:firstLine="94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9"/>
        <w:keepNext w:val="0"/>
        <w:keepLines w:val="0"/>
        <w:widowControl w:val="0"/>
        <w:numPr>
          <w:ilvl w:val="0"/>
          <w:numId w:val="1"/>
        </w:numPr>
        <w:shd w:val="clear" w:color="auto" w:fill="auto"/>
        <w:tabs>
          <w:tab w:pos="1498" w:val="left"/>
        </w:tabs>
        <w:bidi w:val="0"/>
        <w:spacing w:before="0" w:line="240" w:lineRule="auto"/>
        <w:ind w:left="1480" w:right="0" w:hanging="5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TAKES NOTE WITH SATISFACTION </w:t>
      </w:r>
      <w:r>
        <w:rPr>
          <w:color w:val="000000"/>
          <w:spacing w:val="0"/>
          <w:w w:val="100"/>
          <w:position w:val="0"/>
          <w:sz w:val="24"/>
          <w:szCs w:val="24"/>
        </w:rPr>
        <w:t xml:space="preserve">of the efforts of the African Committee of Experts on the Rights and Welfare of the Child (Committee) in the popularization of the African Charter on the Rights and Welfare of the Child (African Charter) and </w:t>
      </w:r>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the Committee to start considering reports received from State Parties;</w:t>
      </w:r>
    </w:p>
    <w:p>
      <w:pPr>
        <w:pStyle w:val="Style9"/>
        <w:keepNext w:val="0"/>
        <w:keepLines w:val="0"/>
        <w:widowControl w:val="0"/>
        <w:numPr>
          <w:ilvl w:val="0"/>
          <w:numId w:val="1"/>
        </w:numPr>
        <w:shd w:val="clear" w:color="auto" w:fill="auto"/>
        <w:tabs>
          <w:tab w:pos="1498" w:val="left"/>
        </w:tabs>
        <w:bidi w:val="0"/>
        <w:spacing w:before="0" w:line="230" w:lineRule="auto"/>
        <w:ind w:left="1480" w:right="0" w:hanging="5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EXPRESSES CONCERN </w:t>
      </w:r>
      <w:r>
        <w:rPr>
          <w:color w:val="000000"/>
          <w:spacing w:val="0"/>
          <w:w w:val="100"/>
          <w:position w:val="0"/>
          <w:sz w:val="24"/>
          <w:szCs w:val="24"/>
        </w:rPr>
        <w:t>about the continued challenges facing children on the continent, in particular, the orphans and vulnerable children;</w:t>
      </w:r>
    </w:p>
    <w:p>
      <w:pPr>
        <w:pStyle w:val="Style9"/>
        <w:keepNext w:val="0"/>
        <w:keepLines w:val="0"/>
        <w:widowControl w:val="0"/>
        <w:numPr>
          <w:ilvl w:val="0"/>
          <w:numId w:val="1"/>
        </w:numPr>
        <w:shd w:val="clear" w:color="auto" w:fill="auto"/>
        <w:tabs>
          <w:tab w:pos="1498" w:val="left"/>
        </w:tabs>
        <w:bidi w:val="0"/>
        <w:spacing w:before="0" w:line="240" w:lineRule="auto"/>
        <w:ind w:left="1480" w:right="0" w:hanging="5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Member States, which have not yet done so, to expedite the ratification process of the African Charter on the Rights and Welfare of the Child and implement its provisions;</w:t>
      </w:r>
    </w:p>
    <w:p>
      <w:pPr>
        <w:pStyle w:val="Style9"/>
        <w:keepNext w:val="0"/>
        <w:keepLines w:val="0"/>
        <w:widowControl w:val="0"/>
        <w:numPr>
          <w:ilvl w:val="0"/>
          <w:numId w:val="1"/>
        </w:numPr>
        <w:shd w:val="clear" w:color="auto" w:fill="auto"/>
        <w:tabs>
          <w:tab w:pos="1498" w:val="left"/>
        </w:tabs>
        <w:bidi w:val="0"/>
        <w:spacing w:before="0" w:line="240" w:lineRule="auto"/>
        <w:ind w:left="1480" w:right="0" w:hanging="5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give particular attention to children in their development policies and programmes and commit themselves to attain the Agenda of an “Africa Fit for Children”;</w:t>
      </w:r>
    </w:p>
    <w:p>
      <w:pPr>
        <w:pStyle w:val="Style9"/>
        <w:keepNext w:val="0"/>
        <w:keepLines w:val="0"/>
        <w:widowControl w:val="0"/>
        <w:numPr>
          <w:ilvl w:val="0"/>
          <w:numId w:val="1"/>
        </w:numPr>
        <w:shd w:val="clear" w:color="auto" w:fill="auto"/>
        <w:tabs>
          <w:tab w:pos="1498" w:val="left"/>
        </w:tabs>
        <w:bidi w:val="0"/>
        <w:spacing w:before="0" w:line="240" w:lineRule="auto"/>
        <w:ind w:left="1480" w:right="0" w:hanging="5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CALLS ON </w:t>
      </w:r>
      <w:r>
        <w:rPr>
          <w:color w:val="000000"/>
          <w:spacing w:val="0"/>
          <w:w w:val="100"/>
          <w:position w:val="0"/>
          <w:sz w:val="24"/>
          <w:szCs w:val="24"/>
        </w:rPr>
        <w:t>the Committee to collaborate with the Commission in the convening of the Mid-Term Review Meeting to assess the implementation of the African Common Position on Children scheduled for the last quarter of 2006;</w:t>
      </w:r>
    </w:p>
    <w:p>
      <w:pPr>
        <w:pStyle w:val="Style9"/>
        <w:keepNext w:val="0"/>
        <w:keepLines w:val="0"/>
        <w:widowControl w:val="0"/>
        <w:numPr>
          <w:ilvl w:val="0"/>
          <w:numId w:val="1"/>
        </w:numPr>
        <w:shd w:val="clear" w:color="auto" w:fill="auto"/>
        <w:tabs>
          <w:tab w:pos="1498" w:val="left"/>
        </w:tabs>
        <w:bidi w:val="0"/>
        <w:spacing w:before="0" w:line="233" w:lineRule="auto"/>
        <w:ind w:left="1480" w:right="0" w:hanging="5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APPEALS </w:t>
      </w:r>
      <w:r>
        <w:rPr>
          <w:color w:val="000000"/>
          <w:spacing w:val="0"/>
          <w:w w:val="100"/>
          <w:position w:val="0"/>
          <w:sz w:val="24"/>
          <w:szCs w:val="24"/>
        </w:rPr>
        <w:t>to Member States to provide moral, technical and financial support to the Committee;</w:t>
      </w:r>
    </w:p>
    <w:p>
      <w:pPr>
        <w:pStyle w:val="Style9"/>
        <w:keepNext w:val="0"/>
        <w:keepLines w:val="0"/>
        <w:widowControl w:val="0"/>
        <w:numPr>
          <w:ilvl w:val="0"/>
          <w:numId w:val="1"/>
        </w:numPr>
        <w:shd w:val="clear" w:color="auto" w:fill="auto"/>
        <w:tabs>
          <w:tab w:pos="1498" w:val="left"/>
        </w:tabs>
        <w:bidi w:val="0"/>
        <w:spacing w:before="0" w:line="240" w:lineRule="auto"/>
        <w:ind w:left="1480" w:right="0" w:hanging="52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Commission to continue to support the Committee and strengthen its capacity to enable it function more effectively.</w:t>
      </w:r>
    </w:p>
    <w:sectPr>
      <w:footnotePr>
        <w:pos w:val="pageBottom"/>
        <w:numFmt w:val="decimal"/>
        <w:numRestart w:val="continuous"/>
      </w:footnotePr>
      <w:pgSz w:w="12240" w:h="16834"/>
      <w:pgMar w:top="2425" w:right="1497" w:bottom="2425" w:left="15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0">
    <w:name w:val="Body text (6)_"/>
    <w:basedOn w:val="DefaultParagraphFont"/>
    <w:link w:val="Style9"/>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9">
    <w:name w:val="Body text (6)"/>
    <w:basedOn w:val="Normal"/>
    <w:link w:val="CharStyle10"/>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