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DRAFT AFRICAN UNION</w:t>
        <w:br/>
        <w:t>INTERNAL AUDIT REGULATIONS</w:t>
        <w:br/>
        <w:t>Doc. EX.CL/720(XXI)i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160" w:line="24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recommendations of the Executive Council on the Draft African Union Internal Audit Regulations;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16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ADOPTS </w:t>
      </w:r>
      <w:r>
        <w:rPr>
          <w:rStyle w:val="CharStyle3"/>
        </w:rPr>
        <w:t>the African Union Internal Audit Regulations;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220" w:line="24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 report annually on the implementations of the African Union Internal Audit Regulations to the Assembly through the Executive council.</w:t>
      </w:r>
    </w:p>
    <w:sectPr>
      <w:footnotePr>
        <w:pos w:val="pageBottom"/>
        <w:numFmt w:val="decimal"/>
        <w:numRestart w:val="continuous"/>
      </w:footnotePr>
      <w:pgSz w:w="12240" w:h="15840"/>
      <w:pgMar w:top="1540" w:right="835" w:bottom="1540" w:left="139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2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6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Assembly AU Dec Res Decl _e _4_</dc:title>
  <dc:subject/>
  <dc:creator>Merga</dc:creator>
  <cp:keywords/>
</cp:coreProperties>
</file>