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BUDGET OF THE AFRICAN UNION</w:t>
        <w:br/>
        <w:t>FOR THE 2013 FINANCIAL YEAR</w:t>
        <w:br/>
        <w:t>Doc. EX.CL/721(XXI)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46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6" w:val="left"/>
        </w:tabs>
        <w:bidi w:val="0"/>
        <w:spacing w:before="0" w:after="220" w:line="233" w:lineRule="auto"/>
        <w:ind w:left="1180" w:right="0" w:hanging="72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 xml:space="preserve">of the Report of the Executive Council, </w:t>
      </w:r>
      <w:r>
        <w:rPr>
          <w:rStyle w:val="CharStyle3"/>
          <w:b/>
          <w:bCs/>
        </w:rPr>
        <w:t xml:space="preserve">ENDORSES </w:t>
      </w:r>
      <w:r>
        <w:rPr>
          <w:rStyle w:val="CharStyle3"/>
        </w:rPr>
        <w:t xml:space="preserve">its recommendations and </w:t>
      </w: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African Union Commission to implement them;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6" w:val="left"/>
        </w:tabs>
        <w:bidi w:val="0"/>
        <w:spacing w:before="0" w:after="220" w:line="240" w:lineRule="auto"/>
        <w:ind w:left="1180" w:right="0" w:hanging="720"/>
        <w:jc w:val="left"/>
      </w:pPr>
      <w:r>
        <w:rPr>
          <w:rStyle w:val="CharStyle3"/>
          <w:b/>
          <w:bCs/>
        </w:rPr>
        <w:t xml:space="preserve">ADOPTS </w:t>
      </w:r>
      <w:r>
        <w:rPr>
          <w:rStyle w:val="CharStyle3"/>
        </w:rPr>
        <w:t xml:space="preserve">the budget of African Union (AU) for the Year 2013 amounting to </w:t>
      </w:r>
      <w:r>
        <w:rPr>
          <w:rStyle w:val="CharStyle3"/>
          <w:b/>
          <w:bCs/>
        </w:rPr>
        <w:t xml:space="preserve">US$278,226,622 </w:t>
      </w:r>
      <w:r>
        <w:rPr>
          <w:rStyle w:val="CharStyle3"/>
        </w:rPr>
        <w:t>as follows: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68" w:val="left"/>
        </w:tabs>
        <w:bidi w:val="0"/>
        <w:spacing w:before="0" w:after="220" w:line="240" w:lineRule="auto"/>
        <w:ind w:left="1900" w:right="0" w:hanging="440"/>
        <w:jc w:val="left"/>
      </w:pPr>
      <w:r>
        <w:rPr>
          <w:rStyle w:val="CharStyle3"/>
        </w:rPr>
        <w:t>A total amount for US$122,866,637 assessed to Member States on the basis of the current Scale of Assessment.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68" w:val="left"/>
        </w:tabs>
        <w:bidi w:val="0"/>
        <w:spacing w:before="0" w:line="240" w:lineRule="auto"/>
        <w:ind w:left="1900" w:right="0" w:hanging="440"/>
        <w:jc w:val="left"/>
      </w:pPr>
      <w:r>
        <w:rPr>
          <w:rStyle w:val="CharStyle3"/>
        </w:rPr>
        <w:t>A total amount of US$155,359,986 that is earmarked for the programs is secured from International Partners.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0" w:right="0" w:firstLine="0"/>
        <w:jc w:val="left"/>
      </w:pPr>
      <w:r>
        <w:rPr>
          <w:rStyle w:val="CharStyle8"/>
          <w:b/>
          <w:bCs/>
        </w:rPr>
        <w:t xml:space="preserve">3. APPROVES </w:t>
      </w:r>
      <w:r>
        <w:rPr>
          <w:rStyle w:val="CharStyle8"/>
        </w:rPr>
        <w:t>the Budget breakdown among the AU Organs as follows:</w:t>
      </w:r>
    </w:p>
    <w:tbl>
      <w:tblPr>
        <w:tblOverlap w:val="never"/>
        <w:jc w:val="center"/>
        <w:tblLayout w:type="fixed"/>
      </w:tblPr>
      <w:tblGrid>
        <w:gridCol w:w="1622"/>
        <w:gridCol w:w="1234"/>
        <w:gridCol w:w="1046"/>
        <w:gridCol w:w="1234"/>
        <w:gridCol w:w="1363"/>
        <w:gridCol w:w="1234"/>
        <w:gridCol w:w="1282"/>
        <w:gridCol w:w="1363"/>
      </w:tblGrid>
      <w:tr>
        <w:trPr>
          <w:trHeight w:val="61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Organ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Member States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Partners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Budget 2013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Operational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Programs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Operational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Programs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Total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AUC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90,594,106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4,782,764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95,376,870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121,178,534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90,594,106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125,961,298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216,555,404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PAP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10,372,998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10,372,998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120,000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10,372,998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120,000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10,492,998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AfCHPR (The Court)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6,607,632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6,607,632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2,362,315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6,607,632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2,362,315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8,969,947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ACHPR (The Commission)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3,881,947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3,881,947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4,606,770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3,881,947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4,606,770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8,488,716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ECOSOCC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1,015,372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1,015,372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1,015,372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1,015,372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NEPAD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4,200,000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4,200,000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25,853,921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4,200,000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25,853,921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30,053,921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AUCIL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353,357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353,357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233,918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353,357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233,918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587,275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Advisory Board on Corruption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470,486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470,486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501,850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470,486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501,850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972,336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Peace &amp; Security Council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587,975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587,975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112,962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700,937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700,937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ACERWC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389,716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8"/>
                <w:szCs w:val="18"/>
              </w:rPr>
            </w:pPr>
            <w:r>
              <w:rPr>
                <w:rStyle w:val="CharStyle11"/>
                <w:sz w:val="18"/>
                <w:szCs w:val="18"/>
              </w:rPr>
              <w:t>389,716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389,716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117,495,898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5,370,739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122,866,637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155,359,986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117,495,898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160,730,725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11"/>
                <w:b/>
                <w:bCs/>
                <w:sz w:val="18"/>
                <w:szCs w:val="18"/>
              </w:rPr>
              <w:t>278,226,622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220" w:line="240" w:lineRule="auto"/>
        <w:ind w:left="1180" w:right="0" w:hanging="720"/>
        <w:jc w:val="left"/>
      </w:pPr>
      <w:r>
        <w:rPr>
          <w:rStyle w:val="CharStyle3"/>
          <w:b/>
          <w:bCs/>
        </w:rPr>
        <w:t xml:space="preserve">ALSO ADOPTS </w:t>
      </w:r>
      <w:r>
        <w:rPr>
          <w:rStyle w:val="CharStyle3"/>
        </w:rPr>
        <w:t>a budget of US$12.1 million for the Pan African University (PAU) to be established as a special fund and mandates the Commission to mobilize resources from International Partners.</w:t>
      </w:r>
    </w:p>
    <w:sectPr>
      <w:footnotePr>
        <w:pos w:val="pageBottom"/>
        <w:numFmt w:val="decimal"/>
        <w:numRestart w:val="continuous"/>
      </w:footnotePr>
      <w:pgSz w:w="12240" w:h="15840"/>
      <w:pgMar w:top="1526" w:right="930" w:bottom="1542" w:left="93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4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Table caption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Other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Table caption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Other"/>
    <w:basedOn w:val="Normal"/>
    <w:link w:val="CharStyle11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