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820" w:line="240" w:lineRule="auto"/>
        <w:ind w:left="0" w:right="0" w:firstLine="0"/>
        <w:jc w:val="center"/>
      </w:pPr>
      <w:r>
        <w:rPr>
          <w:rStyle w:val="CharStyle3"/>
          <w:b/>
          <w:bCs/>
        </w:rPr>
        <w:t>DECISION ON THE PROMOTION OF CRITICAL KNOWLEDGE FOR THE</w:t>
        <w:br/>
        <w:t>ACCELERATED AND SUSTAINABLE DEVELOPMENT OF AFRICA</w:t>
        <w:br/>
        <w:t>Doc. Assembly/AU/12(XX) Add.6</w:t>
      </w:r>
    </w:p>
    <w:p>
      <w:pPr>
        <w:pStyle w:val="Style2"/>
        <w:keepNext w:val="0"/>
        <w:keepLines w:val="0"/>
        <w:widowControl w:val="0"/>
        <w:numPr>
          <w:ilvl w:val="0"/>
          <w:numId w:val="1"/>
        </w:numPr>
        <w:shd w:val="clear" w:color="auto" w:fill="auto"/>
        <w:tabs>
          <w:tab w:pos="691" w:val="left"/>
        </w:tabs>
        <w:bidi w:val="0"/>
        <w:spacing w:before="0" w:after="280" w:line="240" w:lineRule="auto"/>
        <w:ind w:left="680" w:right="0" w:hanging="680"/>
        <w:jc w:val="both"/>
      </w:pPr>
      <w:r>
        <w:rPr>
          <w:rStyle w:val="CharStyle3"/>
          <w:b/>
          <w:bCs/>
        </w:rPr>
        <w:t xml:space="preserve">TAKES NOTE </w:t>
      </w:r>
      <w:r>
        <w:rPr>
          <w:rStyle w:val="CharStyle3"/>
        </w:rPr>
        <w:t>of the proposal of Burkina Faso on the promotion of critical skills for Accelerated and Sustainable Development in Africa; proposal complements other initiatives such as the African Union Action Plan of the 2</w:t>
      </w:r>
      <w:r>
        <w:rPr>
          <w:rStyle w:val="CharStyle3"/>
          <w:vertAlign w:val="superscript"/>
        </w:rPr>
        <w:t>nd</w:t>
      </w:r>
      <w:r>
        <w:rPr>
          <w:rStyle w:val="CharStyle3"/>
        </w:rPr>
        <w:t xml:space="preserve"> Decade of Education;</w:t>
      </w:r>
    </w:p>
    <w:p>
      <w:pPr>
        <w:pStyle w:val="Style2"/>
        <w:keepNext w:val="0"/>
        <w:keepLines w:val="0"/>
        <w:widowControl w:val="0"/>
        <w:numPr>
          <w:ilvl w:val="0"/>
          <w:numId w:val="1"/>
        </w:numPr>
        <w:shd w:val="clear" w:color="auto" w:fill="auto"/>
        <w:tabs>
          <w:tab w:pos="691" w:val="left"/>
        </w:tabs>
        <w:bidi w:val="0"/>
        <w:spacing w:before="0" w:after="320" w:line="240" w:lineRule="auto"/>
        <w:ind w:left="680" w:right="0" w:hanging="680"/>
        <w:jc w:val="both"/>
      </w:pPr>
      <w:r>
        <w:rPr>
          <w:rStyle w:val="CharStyle3"/>
          <w:b/>
          <w:bCs/>
        </w:rPr>
        <w:t xml:space="preserve">COMMENDS </w:t>
      </w:r>
      <w:r>
        <w:rPr>
          <w:rStyle w:val="CharStyle3"/>
        </w:rPr>
        <w:t>the Government of Burkina Faso for having hosted the 2012 Triennial Meeting on education and vocational training in Ouagadougou, Burkina Faso, from 12 to 17 February 2012;</w:t>
      </w:r>
    </w:p>
    <w:p>
      <w:pPr>
        <w:pStyle w:val="Style2"/>
        <w:keepNext w:val="0"/>
        <w:keepLines w:val="0"/>
        <w:widowControl w:val="0"/>
        <w:numPr>
          <w:ilvl w:val="0"/>
          <w:numId w:val="1"/>
        </w:numPr>
        <w:shd w:val="clear" w:color="auto" w:fill="auto"/>
        <w:tabs>
          <w:tab w:pos="691" w:val="left"/>
        </w:tabs>
        <w:bidi w:val="0"/>
        <w:spacing w:before="0" w:after="280" w:line="230" w:lineRule="auto"/>
        <w:ind w:left="680" w:right="0" w:hanging="680"/>
        <w:jc w:val="both"/>
      </w:pPr>
      <w:r>
        <w:rPr>
          <w:rStyle w:val="CharStyle3"/>
          <w:b/>
          <w:bCs/>
        </w:rPr>
        <w:t xml:space="preserve">APPROVES </w:t>
      </w:r>
      <w:r>
        <w:rPr>
          <w:rStyle w:val="CharStyle3"/>
        </w:rPr>
        <w:t xml:space="preserve">the initiative of Burkina Faso and </w:t>
      </w:r>
      <w:r>
        <w:rPr>
          <w:rStyle w:val="CharStyle3"/>
          <w:b/>
          <w:bCs/>
        </w:rPr>
        <w:t xml:space="preserve">ENDORSES </w:t>
      </w:r>
      <w:r>
        <w:rPr>
          <w:rStyle w:val="CharStyle3"/>
        </w:rPr>
        <w:t>the recommendations of the Triennial;</w:t>
      </w:r>
    </w:p>
    <w:p>
      <w:pPr>
        <w:pStyle w:val="Style2"/>
        <w:keepNext w:val="0"/>
        <w:keepLines w:val="0"/>
        <w:widowControl w:val="0"/>
        <w:numPr>
          <w:ilvl w:val="0"/>
          <w:numId w:val="1"/>
        </w:numPr>
        <w:shd w:val="clear" w:color="auto" w:fill="auto"/>
        <w:tabs>
          <w:tab w:pos="691" w:val="left"/>
        </w:tabs>
        <w:bidi w:val="0"/>
        <w:spacing w:before="0" w:after="280" w:line="240" w:lineRule="auto"/>
        <w:ind w:left="680" w:right="0" w:hanging="680"/>
        <w:jc w:val="both"/>
      </w:pPr>
      <w:r>
        <w:rPr>
          <w:rStyle w:val="CharStyle3"/>
          <w:b/>
          <w:bCs/>
        </w:rPr>
        <w:t xml:space="preserve">CALLS UPON </w:t>
      </w:r>
      <w:r>
        <w:rPr>
          <w:rStyle w:val="CharStyle3"/>
        </w:rPr>
        <w:t>Member States to implement the recommendations of the Triennial Meeting conclusions because of the importance role that education and vocational training are expected to play in the development of the continent and African Renaissance;</w:t>
      </w:r>
    </w:p>
    <w:p>
      <w:pPr>
        <w:pStyle w:val="Style2"/>
        <w:keepNext w:val="0"/>
        <w:keepLines w:val="0"/>
        <w:widowControl w:val="0"/>
        <w:numPr>
          <w:ilvl w:val="0"/>
          <w:numId w:val="1"/>
        </w:numPr>
        <w:shd w:val="clear" w:color="auto" w:fill="auto"/>
        <w:tabs>
          <w:tab w:pos="691" w:val="left"/>
        </w:tabs>
        <w:bidi w:val="0"/>
        <w:spacing w:before="0" w:after="280" w:line="240" w:lineRule="auto"/>
        <w:ind w:left="680" w:right="0" w:hanging="680"/>
        <w:jc w:val="both"/>
      </w:pPr>
      <w:r>
        <w:rPr>
          <w:rStyle w:val="CharStyle3"/>
          <w:b/>
          <w:bCs/>
        </w:rPr>
        <w:t xml:space="preserve">REAFFIRMS </w:t>
      </w:r>
      <w:r>
        <w:rPr>
          <w:rStyle w:val="CharStyle3"/>
        </w:rPr>
        <w:t>its commitment to the implementation of educational policies based on equality and geared towards the accelerated and sustainable development of Africa;</w:t>
      </w:r>
    </w:p>
    <w:p>
      <w:pPr>
        <w:pStyle w:val="Style2"/>
        <w:keepNext w:val="0"/>
        <w:keepLines w:val="0"/>
        <w:widowControl w:val="0"/>
        <w:numPr>
          <w:ilvl w:val="0"/>
          <w:numId w:val="1"/>
        </w:numPr>
        <w:shd w:val="clear" w:color="auto" w:fill="auto"/>
        <w:tabs>
          <w:tab w:pos="691" w:val="left"/>
        </w:tabs>
        <w:bidi w:val="0"/>
        <w:spacing w:before="0" w:after="280" w:line="240" w:lineRule="auto"/>
        <w:ind w:left="680" w:right="0" w:hanging="680"/>
        <w:jc w:val="both"/>
      </w:pPr>
      <w:r>
        <w:rPr>
          <w:rStyle w:val="CharStyle3"/>
          <w:b/>
          <w:bCs/>
        </w:rPr>
        <w:t xml:space="preserve">REQUESTS </w:t>
      </w:r>
      <w:r>
        <w:rPr>
          <w:rStyle w:val="CharStyle3"/>
        </w:rPr>
        <w:t>the Commission to arrange a consultation with the ADEA, the ADB and the relevant institutions to develop a program of support to African countries concerned for the appropriation, adaptation and implementation conclusions from the Triennial of Education and Vocational Training of Ouagadougou;</w:t>
      </w:r>
    </w:p>
    <w:p>
      <w:pPr>
        <w:pStyle w:val="Style2"/>
        <w:keepNext w:val="0"/>
        <w:keepLines w:val="0"/>
        <w:widowControl w:val="0"/>
        <w:numPr>
          <w:ilvl w:val="0"/>
          <w:numId w:val="1"/>
        </w:numPr>
        <w:shd w:val="clear" w:color="auto" w:fill="auto"/>
        <w:tabs>
          <w:tab w:pos="691" w:val="left"/>
        </w:tabs>
        <w:bidi w:val="0"/>
        <w:spacing w:before="0" w:after="280" w:line="240" w:lineRule="auto"/>
        <w:ind w:left="680" w:right="0" w:hanging="680"/>
        <w:jc w:val="both"/>
      </w:pPr>
      <w:r>
        <w:rPr>
          <w:rStyle w:val="CharStyle3"/>
          <w:b/>
          <w:bCs/>
        </w:rPr>
        <w:t xml:space="preserve">ALSO REQUESTS </w:t>
      </w:r>
      <w:r>
        <w:rPr>
          <w:rStyle w:val="CharStyle3"/>
        </w:rPr>
        <w:t>the Commission to report regularly to the Assembly on the implementation of this decision through the Conference of Ministers of Education of the African Union (COMEDAF) or Specialized Technical Committee.</w:t>
      </w:r>
    </w:p>
    <w:sectPr>
      <w:footnotePr>
        <w:pos w:val="pageBottom"/>
        <w:numFmt w:val="decimal"/>
        <w:numRestart w:val="continuous"/>
      </w:footnotePr>
      <w:pgSz w:w="12240" w:h="15840"/>
      <w:pgMar w:top="1556" w:right="1369" w:bottom="1556" w:left="139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