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ELECTION OF FOUR (4) MEMBERS OF THE AFRICAN</w:t>
        <w:br/>
        <w:t>COMMISSION ON HUMAN AND PEOPLES’ RIGHTS (ACHPR)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rStyle w:val="CharStyle3"/>
          <w:b/>
          <w:bCs/>
        </w:rPr>
        <w:t>Doc. EX.CL/793(XXIII)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4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four (4) Members of the African Commission on Human and Peoples’ Rights (ACHPR) by the Twenty-Third Ordinary Session of the Executive Council held in Addis Ababa, Ethiopia in May 2013;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52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 xml:space="preserve">the following Members of the ACHPR </w:t>
      </w:r>
      <w:r>
        <w:rPr>
          <w:rStyle w:val="CharStyle3"/>
          <w:b/>
          <w:bCs/>
        </w:rPr>
        <w:t>for a six (6)-year term:</w:t>
      </w:r>
    </w:p>
    <w:tbl>
      <w:tblPr>
        <w:tblOverlap w:val="never"/>
        <w:jc w:val="right"/>
        <w:tblLayout w:type="fixed"/>
      </w:tblPr>
      <w:tblGrid>
        <w:gridCol w:w="898"/>
        <w:gridCol w:w="4042"/>
        <w:gridCol w:w="3600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Name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Country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8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Ms. Lucy Asuagbor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Cameroon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8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Ms. Soyata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Mali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8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Lawrence Murugu Mute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Kenya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8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8"/>
              </w:rPr>
              <w:t>Mr. Yeung Kam John Yeung Sik Yuen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Mauritius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684" w:right="1371" w:bottom="1324" w:left="13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Mahlet Teshome KEBEDE</dc:creator>
  <cp:keywords/>
</cp:coreProperties>
</file>