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IMPLEMENTATION OF THE AFRICAN CHARTER ON</w:t>
        <w:br/>
        <w:t>STATISTICS AND THE STRATEGY FOR THE HARMONIZATION</w:t>
        <w:br/>
        <w:t>OF STATISTICS IN AFRICA (SHASA)</w:t>
        <w:br/>
        <w:t>Doc. EX.CL/806(XXIV)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 xml:space="preserve">countries which have signed and ratified the African Charter on Statistics, and </w:t>
      </w:r>
      <w:r>
        <w:rPr>
          <w:rStyle w:val="CharStyle3"/>
          <w:b/>
          <w:bCs/>
        </w:rPr>
        <w:t xml:space="preserve">CALLS ON </w:t>
      </w:r>
      <w:r>
        <w:rPr>
          <w:rStyle w:val="CharStyle3"/>
        </w:rPr>
        <w:t>those which have not done so to sign and ratify it as expeditiously as possible;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RESOLVES </w:t>
      </w:r>
      <w:r>
        <w:rPr>
          <w:rStyle w:val="CharStyle3"/>
        </w:rPr>
        <w:t>to allocate adequate resources for the production and use of statistics in line with the principles of the African Charter on Statistics;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Assembly/AU/Dec.424(XIX) of July 2012 on the creation of an African Statistical Training Centre, including the strategy for alignment of training initiatives to SHaSA;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APPROVES </w:t>
      </w:r>
      <w:r>
        <w:rPr>
          <w:rStyle w:val="CharStyle3"/>
        </w:rPr>
        <w:t xml:space="preserve">the offer of the Republic of Cote d’Ivoire to host the Training Centre that will be based in Yamoussoukro (Institut Polytechnique Felix Houphouet Boingy) and </w:t>
      </w:r>
      <w:r>
        <w:rPr>
          <w:rStyle w:val="CharStyle3"/>
          <w:b/>
          <w:bCs/>
        </w:rPr>
        <w:t xml:space="preserve">EXPRESSES </w:t>
      </w:r>
      <w:r>
        <w:rPr>
          <w:rStyle w:val="CharStyle3"/>
        </w:rPr>
        <w:t>gratitude to Cote d’Ivoire for its commitments to provide adequate facilities and equipments for its inception 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Commission, ECA, AfDB and ACBF in collaboration with the Ivorian Government to take the necessary measures for the effective establishment and hosting of the Centre.</w:t>
      </w:r>
    </w:p>
    <w:sectPr>
      <w:footnotePr>
        <w:pos w:val="pageBottom"/>
        <w:numFmt w:val="decimal"/>
        <w:numRestart w:val="continuous"/>
      </w:footnotePr>
      <w:pgSz w:w="12240" w:h="15840"/>
      <w:pgMar w:top="1452" w:right="1548" w:bottom="1452" w:left="155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