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PROGRESS REPORT OF THE COMMISSION ON THE</w:t>
        <w:br/>
        <w:t>DEVELOPMENT OF THE AFRICAN UNION AGENDA 2063</w:t>
        <w:br/>
        <w:t>Doc. Assembly/AU/3(XXII)</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TAKES NOTE </w:t>
      </w:r>
      <w:r>
        <w:rPr>
          <w:rStyle w:val="CharStyle3"/>
        </w:rPr>
        <w:t>of the Report presented by the Chairperson of the Commission on the development of Agenda 2063 and the rich comments and observations made by Member States on the Report;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RECOGNIZES </w:t>
      </w:r>
      <w:r>
        <w:rPr>
          <w:rStyle w:val="CharStyle3"/>
        </w:rPr>
        <w:t xml:space="preserve">the progress achieved in the development of Agenda 2063 Framework Document and </w:t>
      </w:r>
      <w:r>
        <w:rPr>
          <w:rStyle w:val="CharStyle3"/>
          <w:b/>
          <w:bCs/>
        </w:rPr>
        <w:t xml:space="preserve">THANKS </w:t>
      </w:r>
      <w:r>
        <w:rPr>
          <w:rStyle w:val="CharStyle3"/>
        </w:rPr>
        <w:t>all those who have contributed to this strategic reflection crucial for the future of the Continent;</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ENCOURAGES </w:t>
      </w:r>
      <w:r>
        <w:rPr>
          <w:rStyle w:val="CharStyle3"/>
        </w:rPr>
        <w:t xml:space="preserve">the Commission to pursue its efforts in enlisting the inputs of all Africans and the Diaspora, and </w:t>
      </w:r>
      <w:r>
        <w:rPr>
          <w:rStyle w:val="CharStyle3"/>
          <w:b/>
          <w:bCs/>
        </w:rPr>
        <w:t xml:space="preserve">ENGAGES </w:t>
      </w:r>
      <w:r>
        <w:rPr>
          <w:rStyle w:val="CharStyle3"/>
        </w:rPr>
        <w:t>Member States to submit their written inputs before the end of April 2014, to enable the Assembly to adopt the Agenda 2063 at its next session in June 2014;</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UNDERSCORES </w:t>
      </w:r>
      <w:r>
        <w:rPr>
          <w:rStyle w:val="CharStyle3"/>
        </w:rPr>
        <w:t>the need to incorporate in Agenda 2063, strategies for optimal management of the immense resources of the oceans and seas bordering Africa, based on the 2050 Africa’s Integrated Maritime Strategy (2050 AIM Strategy).</w:t>
      </w:r>
    </w:p>
    <w:sectPr>
      <w:footnotePr>
        <w:pos w:val="pageBottom"/>
        <w:numFmt w:val="decimal"/>
        <w:numRestart w:val="continuous"/>
      </w:footnotePr>
      <w:pgSz w:w="12240" w:h="15840"/>
      <w:pgMar w:top="2101" w:right="901" w:bottom="2101"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