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REPORT OF THE AIDS WATCH AFRICA (AWA)</w:t>
        <w:br/>
        <w:t>Doc. Assembly/AU/14(XXV)</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TAKES NOTE </w:t>
      </w:r>
      <w:r>
        <w:rPr>
          <w:rStyle w:val="CharStyle5"/>
        </w:rPr>
        <w:t>of the Reports of the AIDS Watch Africa (AWA) and the recommendations contained therein; and the end of the term progress on AU Roadmap on Shared Responsibility and Global Solidarity for HIV/AIDS, Tuberculosis (TB) and Malaria;</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COMMENDS </w:t>
      </w:r>
      <w:r>
        <w:rPr>
          <w:rStyle w:val="CharStyle5"/>
        </w:rPr>
        <w:t xml:space="preserve">concrete efforts provided by Member States, RECs, Civil Society, the Private Sector and International Development Partners in implementing the AU Roadmap from 2012 to 2015 and </w:t>
      </w:r>
      <w:r>
        <w:rPr>
          <w:rStyle w:val="CharStyle5"/>
          <w:b/>
          <w:bCs/>
        </w:rPr>
        <w:t xml:space="preserve">DECIDES </w:t>
      </w:r>
      <w:r>
        <w:rPr>
          <w:rStyle w:val="CharStyle5"/>
        </w:rPr>
        <w:t>to extend the AU Roadmap on Shared Responsibility and Global Solidarity for AIDS, TB and Malaria Response in Africa from 2016 to 2020 to achieve full implementation;</w:t>
      </w:r>
    </w:p>
    <w:p>
      <w:pPr>
        <w:pStyle w:val="Style4"/>
        <w:keepNext w:val="0"/>
        <w:keepLines w:val="0"/>
        <w:widowControl w:val="0"/>
        <w:numPr>
          <w:ilvl w:val="0"/>
          <w:numId w:val="1"/>
        </w:numPr>
        <w:shd w:val="clear" w:color="auto" w:fill="auto"/>
        <w:tabs>
          <w:tab w:pos="696" w:val="left"/>
        </w:tabs>
        <w:bidi w:val="0"/>
        <w:spacing w:before="0" w:line="240" w:lineRule="auto"/>
        <w:ind w:left="0" w:right="0" w:firstLine="0"/>
        <w:jc w:val="left"/>
      </w:pPr>
      <w:r>
        <w:rPr>
          <w:rStyle w:val="CharStyle5"/>
          <w:b/>
          <w:bCs/>
        </w:rPr>
        <w:t xml:space="preserve">REQUESTS </w:t>
      </w:r>
      <w:r>
        <w:rPr>
          <w:rStyle w:val="CharStyle5"/>
        </w:rPr>
        <w:t>the Commission:</w:t>
      </w:r>
    </w:p>
    <w:p>
      <w:pPr>
        <w:pStyle w:val="Style4"/>
        <w:keepNext w:val="0"/>
        <w:keepLines w:val="0"/>
        <w:widowControl w:val="0"/>
        <w:numPr>
          <w:ilvl w:val="0"/>
          <w:numId w:val="3"/>
        </w:numPr>
        <w:shd w:val="clear" w:color="auto" w:fill="auto"/>
        <w:tabs>
          <w:tab w:pos="1297" w:val="left"/>
        </w:tabs>
        <w:bidi w:val="0"/>
        <w:spacing w:before="0" w:line="240" w:lineRule="auto"/>
        <w:ind w:left="1300" w:right="0" w:hanging="560"/>
        <w:jc w:val="both"/>
      </w:pPr>
      <w:r>
        <w:rPr>
          <w:rStyle w:val="CharStyle5"/>
        </w:rPr>
        <w:t>working with NEPAD Agency in consultation with Member States, Development Partners to develop a “Catalytic Framework” detailing milestones towards ending the epidemics of AIDS, TB and malaria in line with the Abuja +12, 2030 target; and URGES all actors to mobilise resources needed, leverage on treatment and embark on a fast track comprehensive strategy to end AIDS, TB and Malaria;</w:t>
      </w:r>
    </w:p>
    <w:p>
      <w:pPr>
        <w:pStyle w:val="Style4"/>
        <w:keepNext w:val="0"/>
        <w:keepLines w:val="0"/>
        <w:widowControl w:val="0"/>
        <w:numPr>
          <w:ilvl w:val="0"/>
          <w:numId w:val="3"/>
        </w:numPr>
        <w:shd w:val="clear" w:color="auto" w:fill="auto"/>
        <w:tabs>
          <w:tab w:pos="1297" w:val="left"/>
        </w:tabs>
        <w:bidi w:val="0"/>
        <w:spacing w:before="0" w:line="240" w:lineRule="auto"/>
        <w:ind w:left="1300" w:right="0" w:hanging="560"/>
        <w:jc w:val="both"/>
      </w:pPr>
      <w:r>
        <w:rPr>
          <w:rStyle w:val="CharStyle5"/>
        </w:rPr>
        <w:t>in consultation with Member States and partners to develop accountability mechanisms with clear targets and indicators to monitor and measure priorities in the response to the three diseases.</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APPRECIATES </w:t>
      </w:r>
      <w:r>
        <w:rPr>
          <w:rStyle w:val="CharStyle5"/>
        </w:rPr>
        <w:t xml:space="preserve">progress recorded on access to medicine catalysed by African Medicines Regulatory Harmonisation (AMRH) framework in line with AU Roadmap Pillar II and Pharmaceutical Manufacturing Plan for Africa (PMPA) and </w:t>
      </w:r>
      <w:r>
        <w:rPr>
          <w:rStyle w:val="CharStyle5"/>
          <w:b/>
          <w:bCs/>
        </w:rPr>
        <w:t xml:space="preserve">URGES </w:t>
      </w:r>
      <w:r>
        <w:rPr>
          <w:rStyle w:val="CharStyle5"/>
        </w:rPr>
        <w:t>the NEPAD Agency, RECs, Member States and other stakeholders to redouble their implementation efforts;</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REAFFIRMS </w:t>
      </w:r>
      <w:r>
        <w:rPr>
          <w:rStyle w:val="CharStyle5"/>
        </w:rPr>
        <w:t xml:space="preserve">commitment to strengthen health systems and to increase domestic funding in line with the Abuja 15% target and </w:t>
      </w:r>
      <w:r>
        <w:rPr>
          <w:rStyle w:val="CharStyle5"/>
          <w:b/>
          <w:bCs/>
        </w:rPr>
        <w:t xml:space="preserve">REITERATES </w:t>
      </w:r>
      <w:r>
        <w:rPr>
          <w:rStyle w:val="CharStyle5"/>
        </w:rPr>
        <w:t>the importance of continued accountability and judicious use of domestic and international resources;</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CALLS UPON </w:t>
      </w:r>
      <w:r>
        <w:rPr>
          <w:rStyle w:val="CharStyle5"/>
        </w:rPr>
        <w:t>countries and Development Partners to contribute towards the 5</w:t>
      </w:r>
      <w:r>
        <w:rPr>
          <w:rStyle w:val="CharStyle5"/>
          <w:vertAlign w:val="superscript"/>
        </w:rPr>
        <w:t>th</w:t>
      </w:r>
      <w:r>
        <w:rPr>
          <w:rStyle w:val="CharStyle5"/>
        </w:rPr>
        <w:t xml:space="preserve"> Replenishment target of the Global Fund in order to control these three diseases and save lives;</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URGES </w:t>
      </w:r>
      <w:r>
        <w:rPr>
          <w:rStyle w:val="CharStyle5"/>
        </w:rPr>
        <w:t>Member States to improve the integration of HIV/AIDS, TB, Malaria and Gender equality responses in the execution of large capital projects ( to leverage Public and Private Sector Partnerships to increase domestic financing as part of innovative approaches for sustainable funding for health;</w:t>
      </w:r>
    </w:p>
    <w:p>
      <w:pPr>
        <w:pStyle w:val="Style4"/>
        <w:keepNext w:val="0"/>
        <w:keepLines w:val="0"/>
        <w:widowControl w:val="0"/>
        <w:numPr>
          <w:ilvl w:val="0"/>
          <w:numId w:val="1"/>
        </w:numPr>
        <w:shd w:val="clear" w:color="auto" w:fill="auto"/>
        <w:tabs>
          <w:tab w:pos="696" w:val="left"/>
        </w:tabs>
        <w:bidi w:val="0"/>
        <w:spacing w:before="0" w:after="0" w:line="228" w:lineRule="auto"/>
        <w:ind w:left="740" w:right="0" w:hanging="740"/>
        <w:jc w:val="left"/>
      </w:pPr>
      <w:r>
        <w:rPr>
          <w:rStyle w:val="CharStyle5"/>
          <w:b/>
          <w:bCs/>
        </w:rPr>
        <w:t xml:space="preserve">ENDORSES </w:t>
      </w:r>
      <w:r>
        <w:rPr>
          <w:rStyle w:val="CharStyle5"/>
        </w:rPr>
        <w:t xml:space="preserve">the report on eMTCT Best Practices in line with the Global Plan and the African Plan Towards Elimination of New HIV Infections among Children by 2015 and Keeping their Mothers Alive; and </w:t>
      </w:r>
      <w:r>
        <w:rPr>
          <w:rStyle w:val="CharStyle5"/>
          <w:b/>
          <w:bCs/>
        </w:rPr>
        <w:t xml:space="preserve">URGES </w:t>
      </w:r>
      <w:r>
        <w:rPr>
          <w:rStyle w:val="CharStyle5"/>
        </w:rPr>
        <w:t>Member States to take measures to accelerate the Prevention and Elimination of Mother-to-Child Transmission of HIV by 2030.</w:t>
      </w:r>
    </w:p>
    <w:sectPr>
      <w:footnotePr>
        <w:pos w:val="pageBottom"/>
        <w:numFmt w:val="decimal"/>
        <w:numRestart w:val="continuous"/>
      </w:footnotePr>
      <w:pgSz w:w="12240" w:h="15840"/>
      <w:pgMar w:top="1425" w:right="1195" w:bottom="572" w:left="15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