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280" w:line="240" w:lineRule="auto"/>
        <w:ind w:left="0" w:right="0" w:firstLine="0"/>
        <w:jc w:val="center"/>
      </w:pPr>
      <w:r>
        <w:rPr>
          <w:rStyle w:val="CharStyle3"/>
          <w:b/>
          <w:bCs/>
        </w:rPr>
        <w:t>DECISION ON THE BUDGET OF THE AFRICAN UNION</w:t>
        <w:br/>
        <w:t>FOR THE 2016 FINANCIAL YEAR</w:t>
        <w:br/>
        <w:t>Doc. Assembly/AU/3(XXV)</w:t>
      </w:r>
    </w:p>
    <w:p>
      <w:pPr>
        <w:pStyle w:val="Style5"/>
        <w:keepNext/>
        <w:keepLines/>
        <w:widowControl w:val="0"/>
        <w:shd w:val="clear" w:color="auto" w:fill="auto"/>
        <w:bidi w:val="0"/>
        <w:spacing w:before="0" w:after="280" w:line="240" w:lineRule="auto"/>
        <w:ind w:left="0" w:right="0" w:firstLine="84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left"/>
      </w:pPr>
      <w:r>
        <w:rPr>
          <w:rStyle w:val="CharStyle3"/>
          <w:b/>
          <w:bCs/>
        </w:rPr>
        <w:t xml:space="preserve">ADOPTS </w:t>
      </w:r>
      <w:r>
        <w:rPr>
          <w:rStyle w:val="CharStyle3"/>
        </w:rPr>
        <w:t xml:space="preserve">a total budget of </w:t>
      </w:r>
      <w:r>
        <w:rPr>
          <w:rStyle w:val="CharStyle3"/>
          <w:b/>
          <w:bCs/>
        </w:rPr>
        <w:t xml:space="preserve">US$416,867,326 </w:t>
      </w:r>
      <w:r>
        <w:rPr>
          <w:rStyle w:val="CharStyle3"/>
        </w:rPr>
        <w:t xml:space="preserve">for the African Union for year 2016, broken down into </w:t>
      </w:r>
      <w:r>
        <w:rPr>
          <w:rStyle w:val="CharStyle3"/>
          <w:b/>
          <w:bCs/>
        </w:rPr>
        <w:t xml:space="preserve">US$150,503,875 </w:t>
      </w:r>
      <w:r>
        <w:rPr>
          <w:rStyle w:val="CharStyle3"/>
        </w:rPr>
        <w:t xml:space="preserve">Operating Budget and </w:t>
      </w:r>
      <w:r>
        <w:rPr>
          <w:rStyle w:val="CharStyle3"/>
          <w:b/>
          <w:bCs/>
        </w:rPr>
        <w:t xml:space="preserve">US$266,363,451 </w:t>
      </w:r>
      <w:r>
        <w:rPr>
          <w:rStyle w:val="CharStyle3"/>
        </w:rPr>
        <w:t>Programs to be financed as follows:</w:t>
      </w:r>
    </w:p>
    <w:p>
      <w:pPr>
        <w:pStyle w:val="Style2"/>
        <w:keepNext w:val="0"/>
        <w:keepLines w:val="0"/>
        <w:widowControl w:val="0"/>
        <w:numPr>
          <w:ilvl w:val="0"/>
          <w:numId w:val="3"/>
        </w:numPr>
        <w:shd w:val="clear" w:color="auto" w:fill="auto"/>
        <w:tabs>
          <w:tab w:pos="677" w:val="left"/>
        </w:tabs>
        <w:bidi w:val="0"/>
        <w:spacing w:before="0" w:after="0" w:line="240" w:lineRule="auto"/>
        <w:ind w:left="0" w:right="0" w:firstLine="0"/>
        <w:jc w:val="center"/>
      </w:pPr>
      <w:r>
        <w:rPr>
          <w:rStyle w:val="CharStyle3"/>
        </w:rPr>
        <w:t xml:space="preserve">A total amount of </w:t>
      </w:r>
      <w:r>
        <w:rPr>
          <w:rStyle w:val="CharStyle3"/>
          <w:b/>
          <w:bCs/>
        </w:rPr>
        <w:t xml:space="preserve">US$169,833,340 </w:t>
      </w:r>
      <w:r>
        <w:rPr>
          <w:rStyle w:val="CharStyle3"/>
        </w:rPr>
        <w:t>is assessed on Member States; and</w:t>
      </w:r>
    </w:p>
    <w:p>
      <w:pPr>
        <w:pStyle w:val="Style2"/>
        <w:keepNext w:val="0"/>
        <w:keepLines w:val="0"/>
        <w:widowControl w:val="0"/>
        <w:numPr>
          <w:ilvl w:val="0"/>
          <w:numId w:val="3"/>
        </w:numPr>
        <w:shd w:val="clear" w:color="auto" w:fill="auto"/>
        <w:tabs>
          <w:tab w:pos="2077" w:val="left"/>
        </w:tabs>
        <w:bidi w:val="0"/>
        <w:spacing w:before="0" w:after="280" w:line="240" w:lineRule="auto"/>
        <w:ind w:left="2120" w:right="0" w:hanging="720"/>
        <w:jc w:val="left"/>
      </w:pPr>
      <w:r>
        <w:rPr>
          <w:rStyle w:val="CharStyle3"/>
        </w:rPr>
        <w:t xml:space="preserve">A total amount of </w:t>
      </w:r>
      <w:r>
        <w:rPr>
          <w:rStyle w:val="CharStyle3"/>
          <w:b/>
          <w:bCs/>
        </w:rPr>
        <w:t xml:space="preserve">US$247,033,986 </w:t>
      </w:r>
      <w:r>
        <w:rPr>
          <w:rStyle w:val="CharStyle3"/>
        </w:rPr>
        <w:t>is secured from International Partners.</w:t>
      </w:r>
    </w:p>
    <w:p>
      <w:pPr>
        <w:pStyle w:val="Style2"/>
        <w:keepNext w:val="0"/>
        <w:keepLines w:val="0"/>
        <w:widowControl w:val="0"/>
        <w:numPr>
          <w:ilvl w:val="0"/>
          <w:numId w:val="1"/>
        </w:numPr>
        <w:shd w:val="clear" w:color="auto" w:fill="auto"/>
        <w:tabs>
          <w:tab w:pos="1531" w:val="left"/>
        </w:tabs>
        <w:bidi w:val="0"/>
        <w:spacing w:before="0" w:after="280" w:line="240" w:lineRule="auto"/>
        <w:ind w:left="0" w:right="0" w:firstLine="840"/>
        <w:jc w:val="left"/>
      </w:pPr>
      <w:r>
        <w:rPr>
          <w:rStyle w:val="CharStyle3"/>
          <w:b/>
          <w:bCs/>
        </w:rPr>
        <w:t xml:space="preserve">ALSO ADOPTS </w:t>
      </w:r>
      <w:r>
        <w:rPr>
          <w:rStyle w:val="CharStyle3"/>
        </w:rPr>
        <w:t>the budget breakdown among the AU Organs as follows:</w:t>
      </w:r>
    </w:p>
    <w:tbl>
      <w:tblPr>
        <w:tblOverlap w:val="never"/>
        <w:jc w:val="center"/>
        <w:tblLayout w:type="fixed"/>
      </w:tblPr>
      <w:tblGrid>
        <w:gridCol w:w="1339"/>
        <w:gridCol w:w="1042"/>
        <w:gridCol w:w="955"/>
        <w:gridCol w:w="1099"/>
        <w:gridCol w:w="926"/>
        <w:gridCol w:w="1037"/>
        <w:gridCol w:w="1037"/>
        <w:gridCol w:w="1118"/>
        <w:gridCol w:w="1037"/>
        <w:gridCol w:w="1166"/>
      </w:tblGrid>
      <w:tr>
        <w:trPr>
          <w:trHeight w:val="403" w:hRule="exact"/>
        </w:trPr>
        <w:tc>
          <w:tcPr>
            <w:vMerge w:val="restart"/>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400"/>
              <w:jc w:val="left"/>
              <w:rPr>
                <w:sz w:val="18"/>
                <w:szCs w:val="18"/>
              </w:rPr>
            </w:pPr>
            <w:r>
              <w:rPr>
                <w:rStyle w:val="CharStyle8"/>
                <w:rFonts w:ascii="Arial Narrow" w:eastAsia="Arial Narrow" w:hAnsi="Arial Narrow" w:cs="Arial Narrow"/>
                <w:b/>
                <w:bCs/>
                <w:w w:val="100"/>
                <w:sz w:val="18"/>
                <w:szCs w:val="18"/>
              </w:rPr>
              <w:t>Organs</w:t>
            </w:r>
          </w:p>
        </w:tc>
        <w:tc>
          <w:tcPr>
            <w:gridSpan w:val="3"/>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rFonts w:ascii="Arial Narrow" w:eastAsia="Arial Narrow" w:hAnsi="Arial Narrow" w:cs="Arial Narrow"/>
                <w:b/>
                <w:bCs/>
                <w:w w:val="100"/>
                <w:sz w:val="18"/>
                <w:szCs w:val="18"/>
              </w:rPr>
              <w:t>Member States</w:t>
            </w:r>
          </w:p>
        </w:tc>
        <w:tc>
          <w:tcPr>
            <w:gridSpan w:val="3"/>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rFonts w:ascii="Arial Narrow" w:eastAsia="Arial Narrow" w:hAnsi="Arial Narrow" w:cs="Arial Narrow"/>
                <w:b/>
                <w:bCs/>
                <w:w w:val="100"/>
                <w:sz w:val="18"/>
                <w:szCs w:val="18"/>
              </w:rPr>
              <w:t>Partners</w:t>
            </w:r>
          </w:p>
        </w:tc>
        <w:tc>
          <w:tcPr>
            <w:gridSpan w:val="3"/>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rFonts w:ascii="Arial Narrow" w:eastAsia="Arial Narrow" w:hAnsi="Arial Narrow" w:cs="Arial Narrow"/>
                <w:b/>
                <w:bCs/>
                <w:w w:val="100"/>
                <w:sz w:val="18"/>
                <w:szCs w:val="18"/>
              </w:rPr>
              <w:t>Total Budget for 2016</w:t>
            </w:r>
          </w:p>
        </w:tc>
      </w:tr>
      <w:tr>
        <w:trPr>
          <w:trHeight w:val="44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rFonts w:ascii="Arial Narrow" w:eastAsia="Arial Narrow" w:hAnsi="Arial Narrow" w:cs="Arial Narrow"/>
                <w:b/>
                <w:bCs/>
                <w:w w:val="100"/>
                <w:sz w:val="18"/>
                <w:szCs w:val="18"/>
              </w:rPr>
              <w:t>Operating Budget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Programs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center"/>
              <w:rPr>
                <w:sz w:val="18"/>
                <w:szCs w:val="18"/>
              </w:rPr>
            </w:pPr>
            <w:r>
              <w:rPr>
                <w:rStyle w:val="CharStyle8"/>
                <w:rFonts w:ascii="Arial Narrow" w:eastAsia="Arial Narrow" w:hAnsi="Arial Narrow" w:cs="Arial Narrow"/>
                <w:b/>
                <w:bCs/>
                <w:w w:val="100"/>
                <w:sz w:val="18"/>
                <w:szCs w:val="18"/>
              </w:rPr>
              <w:t>Total Assessment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b/>
                <w:bCs/>
                <w:w w:val="100"/>
                <w:sz w:val="18"/>
                <w:szCs w:val="18"/>
              </w:rPr>
              <w:t>Operating</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rFonts w:ascii="Arial Narrow" w:eastAsia="Arial Narrow" w:hAnsi="Arial Narrow" w:cs="Arial Narrow"/>
                <w:b/>
                <w:bCs/>
                <w:w w:val="100"/>
                <w:sz w:val="18"/>
                <w:szCs w:val="18"/>
              </w:rPr>
              <w:t>Programs</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320" w:firstLine="0"/>
              <w:jc w:val="right"/>
              <w:rPr>
                <w:sz w:val="18"/>
                <w:szCs w:val="18"/>
              </w:rPr>
            </w:pPr>
            <w:r>
              <w:rPr>
                <w:rStyle w:val="CharStyle8"/>
                <w:rFonts w:ascii="Arial Narrow" w:eastAsia="Arial Narrow" w:hAnsi="Arial Narrow" w:cs="Arial Narrow"/>
                <w:b/>
                <w:bCs/>
                <w:w w:val="100"/>
                <w:sz w:val="18"/>
                <w:szCs w:val="18"/>
              </w:rPr>
              <w:t>Total</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80"/>
              <w:jc w:val="left"/>
              <w:rPr>
                <w:sz w:val="18"/>
                <w:szCs w:val="18"/>
              </w:rPr>
            </w:pPr>
            <w:r>
              <w:rPr>
                <w:rStyle w:val="CharStyle8"/>
                <w:rFonts w:ascii="Arial Narrow" w:eastAsia="Arial Narrow" w:hAnsi="Arial Narrow" w:cs="Arial Narrow"/>
                <w:b/>
                <w:bCs/>
                <w:w w:val="100"/>
                <w:sz w:val="18"/>
                <w:szCs w:val="18"/>
              </w:rPr>
              <w:t>Operating</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rFonts w:ascii="Arial Narrow" w:eastAsia="Arial Narrow" w:hAnsi="Arial Narrow" w:cs="Arial Narrow"/>
                <w:b/>
                <w:bCs/>
                <w:w w:val="100"/>
                <w:sz w:val="18"/>
                <w:szCs w:val="18"/>
              </w:rPr>
              <w:t>Programs</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rFonts w:ascii="Arial Narrow" w:eastAsia="Arial Narrow" w:hAnsi="Arial Narrow" w:cs="Arial Narrow"/>
                <w:b/>
                <w:bCs/>
                <w:w w:val="100"/>
                <w:sz w:val="18"/>
                <w:szCs w:val="18"/>
              </w:rPr>
              <w:t>Total 2016</w:t>
            </w:r>
          </w:p>
        </w:tc>
      </w:tr>
      <w:tr>
        <w:trPr>
          <w:trHeight w:val="485"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AUC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107,213,380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19,174,284</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rFonts w:ascii="Arial Narrow" w:eastAsia="Arial Narrow" w:hAnsi="Arial Narrow" w:cs="Arial Narrow"/>
                <w:w w:val="100"/>
                <w:sz w:val="18"/>
                <w:szCs w:val="18"/>
              </w:rPr>
              <w:t>126,387,664</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192,461,978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192,461,978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107,213,380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211,636,262</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00"/>
              <w:jc w:val="left"/>
              <w:rPr>
                <w:sz w:val="18"/>
                <w:szCs w:val="18"/>
              </w:rPr>
            </w:pPr>
            <w:r>
              <w:rPr>
                <w:rStyle w:val="CharStyle8"/>
                <w:rFonts w:ascii="Arial Narrow" w:eastAsia="Arial Narrow" w:hAnsi="Arial Narrow" w:cs="Arial Narrow"/>
                <w:w w:val="100"/>
                <w:sz w:val="18"/>
                <w:szCs w:val="18"/>
              </w:rPr>
              <w:t>318,849,642</w:t>
            </w:r>
          </w:p>
        </w:tc>
      </w:tr>
      <w:tr>
        <w:trPr>
          <w:trHeight w:val="26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PAP</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both"/>
              <w:rPr>
                <w:sz w:val="18"/>
                <w:szCs w:val="18"/>
              </w:rPr>
            </w:pPr>
            <w:r>
              <w:rPr>
                <w:rStyle w:val="CharStyle8"/>
                <w:rFonts w:ascii="Arial Narrow" w:eastAsia="Arial Narrow" w:hAnsi="Arial Narrow" w:cs="Arial Narrow"/>
                <w:w w:val="100"/>
                <w:sz w:val="18"/>
                <w:szCs w:val="18"/>
              </w:rPr>
              <w:t>12,016,230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12,016,230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20,444,763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20,444,763</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12,016,230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20,444,763</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32,460,993</w:t>
            </w:r>
          </w:p>
        </w:tc>
      </w:tr>
      <w:tr>
        <w:trPr>
          <w:trHeight w:val="422"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AfCHR (The Court)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7,934,915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7,934,915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2,351,486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2,351,486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7,934,915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2,351,486</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18"/>
                <w:szCs w:val="18"/>
              </w:rPr>
            </w:pPr>
            <w:r>
              <w:rPr>
                <w:rStyle w:val="CharStyle8"/>
                <w:rFonts w:ascii="Arial Narrow" w:eastAsia="Arial Narrow" w:hAnsi="Arial Narrow" w:cs="Arial Narrow"/>
                <w:w w:val="100"/>
                <w:sz w:val="18"/>
                <w:szCs w:val="18"/>
              </w:rPr>
              <w:t>10,286,401</w:t>
            </w:r>
          </w:p>
        </w:tc>
      </w:tr>
      <w:tr>
        <w:trPr>
          <w:trHeight w:val="451"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ACHPR (The Commission)</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4,279,846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4,279,846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1,301,399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1,301,399</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4,279,846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1,301,399</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5,581,245</w:t>
            </w:r>
          </w:p>
        </w:tc>
      </w:tr>
      <w:tr>
        <w:trPr>
          <w:trHeight w:val="259"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ECOSSOC</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1,043,396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1,043,396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991,223</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991,223</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1,043,396</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991,223</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2,034,619</w:t>
            </w:r>
          </w:p>
        </w:tc>
      </w:tr>
      <w:tr>
        <w:trPr>
          <w:trHeight w:val="485"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NEPAD</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8,871,755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8,871,755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25,013,737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25,013,737</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8,871,755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25,013,737</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18"/>
                <w:szCs w:val="18"/>
              </w:rPr>
            </w:pPr>
            <w:r>
              <w:rPr>
                <w:rStyle w:val="CharStyle8"/>
                <w:rFonts w:ascii="Arial Narrow" w:eastAsia="Arial Narrow" w:hAnsi="Arial Narrow" w:cs="Arial Narrow"/>
                <w:w w:val="100"/>
                <w:sz w:val="18"/>
                <w:szCs w:val="18"/>
              </w:rPr>
              <w:t>33,885,492</w:t>
            </w:r>
          </w:p>
        </w:tc>
      </w:tr>
      <w:tr>
        <w:trPr>
          <w:trHeight w:val="360"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AUCIL</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389,575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389,575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295,200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295,200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389,575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295,200</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684,775</w:t>
            </w:r>
          </w:p>
        </w:tc>
      </w:tr>
      <w:tr>
        <w:trPr>
          <w:trHeight w:val="538"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Advisory Board on Corruption</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1,376,408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1,376,408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1,376,408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1,376,408</w:t>
            </w:r>
          </w:p>
        </w:tc>
      </w:tr>
      <w:tr>
        <w:trPr>
          <w:trHeight w:val="442"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Peace &amp;</w:t>
            </w:r>
          </w:p>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Security Council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00"/>
              <w:jc w:val="both"/>
              <w:rPr>
                <w:sz w:val="18"/>
                <w:szCs w:val="18"/>
              </w:rPr>
            </w:pPr>
            <w:r>
              <w:rPr>
                <w:rStyle w:val="CharStyle8"/>
                <w:rFonts w:ascii="Arial Narrow" w:eastAsia="Arial Narrow" w:hAnsi="Arial Narrow" w:cs="Arial Narrow"/>
                <w:w w:val="100"/>
                <w:sz w:val="18"/>
                <w:szCs w:val="18"/>
              </w:rPr>
              <w:t>797,216</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797,216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797,216</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797,216</w:t>
            </w:r>
          </w:p>
        </w:tc>
      </w:tr>
      <w:tr>
        <w:trPr>
          <w:trHeight w:val="269"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ACERWC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253,810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39,565</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293,375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445,802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445,802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253,810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485,367</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739,178</w:t>
            </w:r>
          </w:p>
        </w:tc>
      </w:tr>
      <w:tr>
        <w:trPr>
          <w:trHeight w:val="283" w:hRule="exact"/>
        </w:trPr>
        <w:tc>
          <w:tcPr>
            <w:gridSpan w:val="10"/>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SPECIALIZED OFFICES OF THE AU</w:t>
            </w:r>
          </w:p>
        </w:tc>
      </w:tr>
      <w:tr>
        <w:trPr>
          <w:trHeight w:val="245"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AFREC</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945,268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945,268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945,268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945,268</w:t>
            </w:r>
          </w:p>
        </w:tc>
      </w:tr>
      <w:tr>
        <w:trPr>
          <w:trHeight w:val="250"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IPED</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735,512</w:t>
            </w:r>
          </w:p>
        </w:tc>
      </w:tr>
      <w:tr>
        <w:trPr>
          <w:trHeight w:val="245"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CIEFFA</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lef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440"/>
              <w:jc w:val="lef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735,512</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500"/>
              <w:jc w:val="both"/>
              <w:rPr>
                <w:sz w:val="18"/>
                <w:szCs w:val="18"/>
              </w:rPr>
            </w:pPr>
            <w:r>
              <w:rPr>
                <w:rStyle w:val="CharStyle8"/>
                <w:rFonts w:ascii="Arial Narrow" w:eastAsia="Arial Narrow" w:hAnsi="Arial Narrow" w:cs="Arial Narrow"/>
                <w:w w:val="100"/>
                <w:sz w:val="18"/>
                <w:szCs w:val="18"/>
              </w:rPr>
              <w:t>735,512</w:t>
            </w:r>
          </w:p>
        </w:tc>
      </w:tr>
      <w:tr>
        <w:trPr>
          <w:trHeight w:val="50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PAU</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2,526,668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2,526,668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2,526,668</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2,526,668</w:t>
            </w:r>
          </w:p>
        </w:tc>
      </w:tr>
      <w:tr>
        <w:trPr>
          <w:trHeight w:val="269"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AIR</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60"/>
              <w:jc w:val="both"/>
              <w:rPr>
                <w:sz w:val="18"/>
                <w:szCs w:val="18"/>
              </w:rPr>
            </w:pPr>
            <w:r>
              <w:rPr>
                <w:rStyle w:val="CharStyle8"/>
                <w:rFonts w:ascii="Arial Narrow" w:eastAsia="Arial Narrow" w:hAnsi="Arial Narrow" w:cs="Arial Narrow"/>
                <w:w w:val="100"/>
                <w:sz w:val="18"/>
                <w:szCs w:val="18"/>
              </w:rPr>
              <w:t>681,600</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1,453,676</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2,135,276</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681,600</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1,453,676</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2,135,276</w:t>
            </w:r>
          </w:p>
        </w:tc>
      </w:tr>
      <w:tr>
        <w:trPr>
          <w:trHeight w:val="264" w:hRule="exact"/>
        </w:trPr>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w w:val="100"/>
                <w:sz w:val="18"/>
                <w:szCs w:val="18"/>
              </w:rPr>
              <w:t>ACDC</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20"/>
              <w:jc w:val="left"/>
              <w:rPr>
                <w:sz w:val="18"/>
                <w:szCs w:val="18"/>
              </w:rPr>
            </w:pPr>
            <w:r>
              <w:rPr>
                <w:rStyle w:val="CharStyle8"/>
                <w:rFonts w:ascii="Arial Narrow" w:eastAsia="Arial Narrow" w:hAnsi="Arial Narrow" w:cs="Arial Narrow"/>
                <w:w w:val="100"/>
                <w:sz w:val="18"/>
                <w:szCs w:val="18"/>
              </w:rPr>
              <w:t>1,500,000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1,593,121</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w w:val="100"/>
                <w:sz w:val="18"/>
                <w:szCs w:val="18"/>
              </w:rPr>
              <w:t>1,593,121</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w w:val="100"/>
                <w:sz w:val="18"/>
                <w:szCs w:val="18"/>
              </w:rPr>
              <w:t>1,500,000</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both"/>
              <w:rPr>
                <w:sz w:val="18"/>
                <w:szCs w:val="18"/>
              </w:rPr>
            </w:pPr>
            <w:r>
              <w:rPr>
                <w:rStyle w:val="CharStyle8"/>
                <w:rFonts w:ascii="Arial Narrow" w:eastAsia="Arial Narrow" w:hAnsi="Arial Narrow" w:cs="Arial Narrow"/>
                <w:w w:val="100"/>
                <w:sz w:val="18"/>
                <w:szCs w:val="18"/>
              </w:rPr>
              <w:t>1,593,121</w:t>
            </w:r>
          </w:p>
        </w:tc>
        <w:tc>
          <w:tcPr>
            <w:tcBorders>
              <w:top w:val="single" w:sz="4"/>
              <w:left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380"/>
              <w:jc w:val="both"/>
              <w:rPr>
                <w:sz w:val="18"/>
                <w:szCs w:val="18"/>
              </w:rPr>
            </w:pPr>
            <w:r>
              <w:rPr>
                <w:rStyle w:val="CharStyle8"/>
                <w:rFonts w:ascii="Arial Narrow" w:eastAsia="Arial Narrow" w:hAnsi="Arial Narrow" w:cs="Arial Narrow"/>
                <w:w w:val="100"/>
                <w:sz w:val="18"/>
                <w:szCs w:val="18"/>
              </w:rPr>
              <w:t>3,093,121</w:t>
            </w:r>
          </w:p>
        </w:tc>
      </w:tr>
      <w:tr>
        <w:trPr>
          <w:trHeight w:val="461" w:hRule="exact"/>
        </w:trPr>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400"/>
              <w:jc w:val="left"/>
              <w:rPr>
                <w:sz w:val="18"/>
                <w:szCs w:val="18"/>
              </w:rPr>
            </w:pPr>
            <w:r>
              <w:rPr>
                <w:rStyle w:val="CharStyle8"/>
                <w:rFonts w:ascii="Arial Narrow" w:eastAsia="Arial Narrow" w:hAnsi="Arial Narrow" w:cs="Arial Narrow"/>
                <w:b/>
                <w:bCs/>
                <w:w w:val="100"/>
                <w:sz w:val="18"/>
                <w:szCs w:val="18"/>
              </w:rPr>
              <w:t>TOTAL</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149,822,275</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20,011,065</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160"/>
              <w:jc w:val="left"/>
              <w:rPr>
                <w:sz w:val="18"/>
                <w:szCs w:val="18"/>
              </w:rPr>
            </w:pPr>
            <w:r>
              <w:rPr>
                <w:rStyle w:val="CharStyle8"/>
                <w:rFonts w:ascii="Arial Narrow" w:eastAsia="Arial Narrow" w:hAnsi="Arial Narrow" w:cs="Arial Narrow"/>
                <w:b/>
                <w:bCs/>
                <w:w w:val="100"/>
                <w:sz w:val="18"/>
                <w:szCs w:val="18"/>
              </w:rPr>
              <w:t>169,833,340</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260"/>
              <w:jc w:val="left"/>
              <w:rPr>
                <w:sz w:val="18"/>
                <w:szCs w:val="18"/>
              </w:rPr>
            </w:pPr>
            <w:r>
              <w:rPr>
                <w:rStyle w:val="CharStyle8"/>
                <w:rFonts w:ascii="Arial Narrow" w:eastAsia="Arial Narrow" w:hAnsi="Arial Narrow" w:cs="Arial Narrow"/>
                <w:b/>
                <w:bCs/>
                <w:w w:val="100"/>
                <w:sz w:val="18"/>
                <w:szCs w:val="18"/>
              </w:rPr>
              <w:t>681,600</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246,352,386</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b/>
                <w:bCs/>
                <w:w w:val="100"/>
                <w:sz w:val="18"/>
                <w:szCs w:val="18"/>
              </w:rPr>
              <w:t>247,033,986</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b/>
                <w:bCs/>
                <w:w w:val="100"/>
                <w:sz w:val="18"/>
                <w:szCs w:val="18"/>
              </w:rPr>
              <w:t>150,503,875</w:t>
            </w:r>
          </w:p>
        </w:tc>
        <w:tc>
          <w:tcPr>
            <w:tcBorders>
              <w:top w:val="single" w:sz="4"/>
              <w:left w:val="single" w:sz="4"/>
              <w:bottom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18"/>
                <w:szCs w:val="18"/>
              </w:rPr>
            </w:pPr>
            <w:r>
              <w:rPr>
                <w:rStyle w:val="CharStyle8"/>
                <w:rFonts w:ascii="Arial Narrow" w:eastAsia="Arial Narrow" w:hAnsi="Arial Narrow" w:cs="Arial Narrow"/>
                <w:b/>
                <w:bCs/>
                <w:w w:val="100"/>
                <w:sz w:val="18"/>
                <w:szCs w:val="18"/>
              </w:rPr>
              <w:t>266,363,451</w:t>
            </w:r>
          </w:p>
        </w:tc>
        <w:tc>
          <w:tcPr>
            <w:tcBorders>
              <w:top w:val="single" w:sz="4"/>
              <w:left w:val="single" w:sz="4"/>
              <w:bottom w:val="single" w:sz="4"/>
              <w:righ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right"/>
              <w:rPr>
                <w:sz w:val="18"/>
                <w:szCs w:val="18"/>
              </w:rPr>
            </w:pPr>
            <w:r>
              <w:rPr>
                <w:rStyle w:val="CharStyle8"/>
                <w:rFonts w:ascii="Arial Narrow" w:eastAsia="Arial Narrow" w:hAnsi="Arial Narrow" w:cs="Arial Narrow"/>
                <w:b/>
                <w:bCs/>
                <w:w w:val="100"/>
                <w:sz w:val="18"/>
                <w:szCs w:val="18"/>
              </w:rPr>
              <w:t>416,867,326</w:t>
            </w:r>
          </w:p>
        </w:tc>
      </w:tr>
    </w:tbl>
    <w:p>
      <w:pPr>
        <w:widowControl w:val="0"/>
        <w:spacing w:after="279" w:line="1" w:lineRule="exact"/>
      </w:pP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AUTHORIZES </w:t>
      </w:r>
      <w:r>
        <w:rPr>
          <w:rStyle w:val="CharStyle3"/>
        </w:rPr>
        <w:t xml:space="preserve">the Commission to continue to solicit additional funds from Partners for Programs of the Union amounting to </w:t>
      </w:r>
      <w:r>
        <w:rPr>
          <w:rStyle w:val="CharStyle3"/>
          <w:b/>
          <w:bCs/>
        </w:rPr>
        <w:t xml:space="preserve">US$70,552,314 </w:t>
      </w:r>
      <w:r>
        <w:rPr>
          <w:rStyle w:val="CharStyle3"/>
        </w:rPr>
        <w:t>till the end of 2015 and to report back on the status to the PRC before the January 2016 Summit;</w:t>
      </w: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EMPHASIZES </w:t>
      </w:r>
      <w:r>
        <w:rPr>
          <w:rStyle w:val="CharStyle3"/>
        </w:rPr>
        <w:t>the need for ownership of AU Programs by Member States through an effective demonstration of political will and by honouring their financial commitments to the organization, in particular the Flagship Projects featuring in the 10 Year Implementation Plan of Agenda 2063 and to minimize dependency on External Funding;</w:t>
      </w:r>
    </w:p>
    <w:p>
      <w:pPr>
        <w:pStyle w:val="Style2"/>
        <w:keepNext w:val="0"/>
        <w:keepLines w:val="0"/>
        <w:widowControl w:val="0"/>
        <w:numPr>
          <w:ilvl w:val="0"/>
          <w:numId w:val="1"/>
        </w:numPr>
        <w:shd w:val="clear" w:color="auto" w:fill="auto"/>
        <w:tabs>
          <w:tab w:pos="1531" w:val="left"/>
        </w:tabs>
        <w:bidi w:val="0"/>
        <w:spacing w:before="0" w:after="280" w:line="240" w:lineRule="auto"/>
        <w:ind w:left="0" w:right="0" w:firstLine="840"/>
        <w:jc w:val="both"/>
      </w:pPr>
      <w:r>
        <w:rPr>
          <w:rStyle w:val="CharStyle3"/>
          <w:b/>
          <w:bCs/>
        </w:rPr>
        <w:t xml:space="preserve">REQUESTS </w:t>
      </w:r>
      <w:r>
        <w:rPr>
          <w:rStyle w:val="CharStyle3"/>
        </w:rPr>
        <w:t>the Commission:</w:t>
      </w:r>
    </w:p>
    <w:p>
      <w:pPr>
        <w:pStyle w:val="Style2"/>
        <w:keepNext w:val="0"/>
        <w:keepLines w:val="0"/>
        <w:widowControl w:val="0"/>
        <w:numPr>
          <w:ilvl w:val="0"/>
          <w:numId w:val="5"/>
        </w:numPr>
        <w:shd w:val="clear" w:color="auto" w:fill="auto"/>
        <w:tabs>
          <w:tab w:pos="1921" w:val="left"/>
        </w:tabs>
        <w:bidi w:val="0"/>
        <w:spacing w:before="0" w:after="280" w:line="230" w:lineRule="auto"/>
        <w:ind w:left="1900" w:right="0" w:hanging="500"/>
        <w:jc w:val="both"/>
      </w:pPr>
      <w:r>
        <w:rPr>
          <w:rStyle w:val="CharStyle3"/>
        </w:rPr>
        <w:t>to take the necessary measures to improve on the Execution rate of the budget against available funds;</w:t>
      </w:r>
    </w:p>
    <w:p>
      <w:pPr>
        <w:pStyle w:val="Style2"/>
        <w:keepNext w:val="0"/>
        <w:keepLines w:val="0"/>
        <w:widowControl w:val="0"/>
        <w:numPr>
          <w:ilvl w:val="0"/>
          <w:numId w:val="5"/>
        </w:numPr>
        <w:shd w:val="clear" w:color="auto" w:fill="auto"/>
        <w:tabs>
          <w:tab w:pos="1921" w:val="left"/>
        </w:tabs>
        <w:bidi w:val="0"/>
        <w:spacing w:before="0" w:after="280" w:line="240" w:lineRule="auto"/>
        <w:ind w:left="1900" w:right="0" w:hanging="500"/>
        <w:jc w:val="both"/>
      </w:pPr>
      <w:r>
        <w:rPr>
          <w:rStyle w:val="CharStyle3"/>
        </w:rPr>
        <w:t>strengthen the internal control processes with a view to ensuring a judicious utilization of the resources put at the disposal of the organization;</w:t>
      </w:r>
    </w:p>
    <w:p>
      <w:pPr>
        <w:pStyle w:val="Style2"/>
        <w:keepNext w:val="0"/>
        <w:keepLines w:val="0"/>
        <w:widowControl w:val="0"/>
        <w:numPr>
          <w:ilvl w:val="0"/>
          <w:numId w:val="5"/>
        </w:numPr>
        <w:shd w:val="clear" w:color="auto" w:fill="auto"/>
        <w:tabs>
          <w:tab w:pos="1921" w:val="left"/>
        </w:tabs>
        <w:bidi w:val="0"/>
        <w:spacing w:before="0" w:after="280" w:line="240" w:lineRule="auto"/>
        <w:ind w:left="1900" w:right="0" w:hanging="580"/>
        <w:jc w:val="both"/>
      </w:pPr>
      <w:r>
        <w:rPr>
          <w:rStyle w:val="CharStyle3"/>
        </w:rPr>
        <w:t>in collaboration with the PRC to undertake a study of the sanction regime on contribution, to make it effective and to make appropriate recommendations to the policy organs.</w:t>
      </w: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EMPHASIZES </w:t>
      </w:r>
      <w:r>
        <w:rPr>
          <w:rStyle w:val="CharStyle3"/>
        </w:rPr>
        <w:t>the need to pay special attention to the allocation of funds for issues of Peace and Security taking into consideration the decision for Member States to provide 25% of the Budget for Peace and Security;</w:t>
      </w:r>
    </w:p>
    <w:p>
      <w:pPr>
        <w:pStyle w:val="Style2"/>
        <w:keepNext w:val="0"/>
        <w:keepLines w:val="0"/>
        <w:widowControl w:val="0"/>
        <w:numPr>
          <w:ilvl w:val="0"/>
          <w:numId w:val="1"/>
        </w:numPr>
        <w:shd w:val="clear" w:color="auto" w:fill="auto"/>
        <w:tabs>
          <w:tab w:pos="1531" w:val="left"/>
        </w:tabs>
        <w:bidi w:val="0"/>
        <w:spacing w:before="0" w:after="280" w:line="233" w:lineRule="auto"/>
        <w:ind w:left="1540" w:right="0" w:hanging="700"/>
        <w:jc w:val="both"/>
      </w:pPr>
      <w:r>
        <w:rPr>
          <w:rStyle w:val="CharStyle3"/>
          <w:b/>
          <w:bCs/>
        </w:rPr>
        <w:t xml:space="preserve">APPROVES </w:t>
      </w:r>
      <w:r>
        <w:rPr>
          <w:rStyle w:val="CharStyle3"/>
        </w:rPr>
        <w:t>2% of AMISOM budget for 2016 be supported by voluntary contributions from Member States;</w:t>
      </w: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DECIDES </w:t>
      </w:r>
      <w:r>
        <w:rPr>
          <w:rStyle w:val="CharStyle3"/>
        </w:rPr>
        <w:t xml:space="preserve">to implement the decision of the Assembly </w:t>
      </w:r>
      <w:r>
        <w:rPr>
          <w:rStyle w:val="CharStyle3"/>
          <w:b/>
          <w:bCs/>
        </w:rPr>
        <w:t xml:space="preserve">(Assembly/AU/Dec.561 (XXIV)) </w:t>
      </w:r>
      <w:r>
        <w:rPr>
          <w:rStyle w:val="CharStyle3"/>
        </w:rPr>
        <w:t>on Alternative Sources of Funding where Member States enhance ownership of the budget of the Union by financing 100% of the Operating budget, 75% of Programs and 25% of Peace and Security Budget effective January 2016 to be phased incrementally over a five-year period;</w:t>
      </w:r>
    </w:p>
    <w:p>
      <w:pPr>
        <w:pStyle w:val="Style2"/>
        <w:keepNext w:val="0"/>
        <w:keepLines w:val="0"/>
        <w:widowControl w:val="0"/>
        <w:numPr>
          <w:ilvl w:val="0"/>
          <w:numId w:val="1"/>
        </w:numPr>
        <w:shd w:val="clear" w:color="auto" w:fill="auto"/>
        <w:tabs>
          <w:tab w:pos="1531" w:val="left"/>
        </w:tabs>
        <w:bidi w:val="0"/>
        <w:spacing w:before="0" w:after="280" w:line="240" w:lineRule="auto"/>
        <w:ind w:left="1540" w:right="0" w:hanging="700"/>
        <w:jc w:val="both"/>
      </w:pPr>
      <w:r>
        <w:rPr>
          <w:rStyle w:val="CharStyle3"/>
          <w:b/>
          <w:bCs/>
        </w:rPr>
        <w:t xml:space="preserve">DECIDES </w:t>
      </w:r>
      <w:r>
        <w:rPr>
          <w:rStyle w:val="CharStyle3"/>
        </w:rPr>
        <w:t>to increase by 2% to reach the target of 1% and 12% for Women Fund and Peace Fund respectively.</w:t>
      </w:r>
    </w:p>
    <w:sectPr>
      <w:footnotePr>
        <w:pos w:val="pageBottom"/>
        <w:numFmt w:val="decimal"/>
        <w:numRestart w:val="continuous"/>
      </w:footnotePr>
      <w:pgSz w:w="12240" w:h="15840"/>
      <w:pgMar w:top="1231" w:right="738" w:bottom="1063" w:left="7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