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rStyle w:val="CharStyle3"/>
          <w:b/>
          <w:bCs/>
        </w:rPr>
        <w:t>DECISION ON THE UPDATE OF THE COMMISSION ON THE IMPLEMENTATION</w:t>
        <w:br/>
        <w:t>OF PREVIOUS DECISIONS ON THE INTERNATIONAL CRIMICAL COURT</w:t>
      </w:r>
    </w:p>
    <w:p>
      <w:pPr>
        <w:pStyle w:val="Style5"/>
        <w:keepNext/>
        <w:keepLines/>
        <w:widowControl w:val="0"/>
        <w:shd w:val="clear" w:color="auto" w:fill="auto"/>
        <w:bidi w:val="0"/>
        <w:spacing w:before="0" w:after="280" w:line="240" w:lineRule="auto"/>
        <w:ind w:left="0" w:right="0" w:firstLine="84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36" w:val="left"/>
        </w:tabs>
        <w:bidi w:val="0"/>
        <w:spacing w:before="0" w:after="280" w:line="240" w:lineRule="auto"/>
        <w:ind w:left="1540" w:right="0" w:hanging="700"/>
        <w:jc w:val="both"/>
      </w:pPr>
      <w:r>
        <w:rPr>
          <w:rStyle w:val="CharStyle3"/>
          <w:b/>
          <w:bCs/>
        </w:rPr>
        <w:t xml:space="preserve">TAKES NOTE </w:t>
      </w:r>
      <w:r>
        <w:rPr>
          <w:rStyle w:val="CharStyle3"/>
        </w:rPr>
        <w:t>of the Update of the Commission on the Implementation of Previous Decisions on the International Criminal Court;</w:t>
      </w:r>
    </w:p>
    <w:p>
      <w:pPr>
        <w:pStyle w:val="Style2"/>
        <w:keepNext w:val="0"/>
        <w:keepLines w:val="0"/>
        <w:widowControl w:val="0"/>
        <w:numPr>
          <w:ilvl w:val="0"/>
          <w:numId w:val="1"/>
        </w:numPr>
        <w:shd w:val="clear" w:color="auto" w:fill="auto"/>
        <w:tabs>
          <w:tab w:pos="1536" w:val="left"/>
        </w:tabs>
        <w:bidi w:val="0"/>
        <w:spacing w:before="0" w:after="280" w:line="226" w:lineRule="auto"/>
        <w:ind w:left="1540" w:right="0" w:hanging="700"/>
        <w:jc w:val="both"/>
      </w:pPr>
      <w:r>
        <w:rPr>
          <w:rStyle w:val="CharStyle3"/>
          <w:b/>
          <w:bCs/>
        </w:rPr>
        <w:t xml:space="preserve">RECALLS </w:t>
      </w:r>
      <w:r>
        <w:rPr>
          <w:rStyle w:val="CharStyle3"/>
        </w:rPr>
        <w:t>Decision Assembly/AU/Dec.547(XXIV) and in particular paragraphs;</w:t>
      </w:r>
    </w:p>
    <w:p>
      <w:pPr>
        <w:pStyle w:val="Style2"/>
        <w:keepNext w:val="0"/>
        <w:keepLines w:val="0"/>
        <w:widowControl w:val="0"/>
        <w:numPr>
          <w:ilvl w:val="0"/>
          <w:numId w:val="3"/>
        </w:numPr>
        <w:shd w:val="clear" w:color="auto" w:fill="auto"/>
        <w:tabs>
          <w:tab w:pos="2108" w:val="left"/>
        </w:tabs>
        <w:bidi w:val="0"/>
        <w:spacing w:before="0" w:after="280" w:line="240" w:lineRule="auto"/>
        <w:ind w:left="2120" w:right="0" w:hanging="720"/>
        <w:jc w:val="both"/>
      </w:pPr>
      <w:r>
        <w:rPr>
          <w:rStyle w:val="CharStyle3"/>
        </w:rPr>
        <w:t>17. (d) that requested the ICC to terminate or suspend the proceedings against Deputy President William Samoei Ruto of Kenya until the African concerns and proposals for amendments of the Rome Statute of the ICC are considered; and</w:t>
      </w:r>
    </w:p>
    <w:p>
      <w:pPr>
        <w:pStyle w:val="Style2"/>
        <w:keepNext w:val="0"/>
        <w:keepLines w:val="0"/>
        <w:widowControl w:val="0"/>
        <w:numPr>
          <w:ilvl w:val="0"/>
          <w:numId w:val="3"/>
        </w:numPr>
        <w:shd w:val="clear" w:color="auto" w:fill="auto"/>
        <w:tabs>
          <w:tab w:pos="2108" w:val="left"/>
        </w:tabs>
        <w:bidi w:val="0"/>
        <w:spacing w:before="0" w:after="280" w:line="233" w:lineRule="auto"/>
        <w:ind w:left="2120" w:right="0" w:hanging="720"/>
        <w:jc w:val="both"/>
      </w:pPr>
      <w:r>
        <w:rPr>
          <w:rStyle w:val="CharStyle3"/>
        </w:rPr>
        <w:t>17 (e) that requested the suspension of proceedings against President Omar Al Bashir and to urge the UN Security Council to withdraw the referral case in the Sudan;</w:t>
      </w:r>
    </w:p>
    <w:p>
      <w:pPr>
        <w:pStyle w:val="Style2"/>
        <w:keepNext w:val="0"/>
        <w:keepLines w:val="0"/>
        <w:widowControl w:val="0"/>
        <w:numPr>
          <w:ilvl w:val="0"/>
          <w:numId w:val="1"/>
        </w:numPr>
        <w:shd w:val="clear" w:color="auto" w:fill="auto"/>
        <w:tabs>
          <w:tab w:pos="1536" w:val="left"/>
        </w:tabs>
        <w:bidi w:val="0"/>
        <w:spacing w:before="0" w:after="280" w:line="230" w:lineRule="auto"/>
        <w:ind w:left="1540" w:right="0" w:hanging="700"/>
        <w:jc w:val="both"/>
      </w:pPr>
      <w:r>
        <w:rPr>
          <w:rStyle w:val="CharStyle3"/>
          <w:b/>
          <w:bCs/>
        </w:rPr>
        <w:t xml:space="preserve">COMMENDS </w:t>
      </w:r>
      <w:r>
        <w:rPr>
          <w:rStyle w:val="CharStyle3"/>
        </w:rPr>
        <w:t>efforts of the African Union Commission in the implementation of the Decision Assembly/AU/Dec.547(XXIV);</w:t>
      </w:r>
    </w:p>
    <w:p>
      <w:pPr>
        <w:pStyle w:val="Style2"/>
        <w:keepNext w:val="0"/>
        <w:keepLines w:val="0"/>
        <w:widowControl w:val="0"/>
        <w:numPr>
          <w:ilvl w:val="0"/>
          <w:numId w:val="1"/>
        </w:numPr>
        <w:shd w:val="clear" w:color="auto" w:fill="auto"/>
        <w:tabs>
          <w:tab w:pos="1536" w:val="left"/>
        </w:tabs>
        <w:bidi w:val="0"/>
        <w:spacing w:before="0" w:after="280" w:line="226" w:lineRule="auto"/>
        <w:ind w:left="1540" w:right="0" w:hanging="700"/>
        <w:jc w:val="both"/>
      </w:pPr>
      <w:r>
        <w:rPr>
          <w:rStyle w:val="CharStyle3"/>
          <w:b/>
          <w:bCs/>
        </w:rPr>
        <w:t xml:space="preserve">RECOMMENDS </w:t>
      </w:r>
      <w:r>
        <w:rPr>
          <w:rStyle w:val="CharStyle3"/>
        </w:rPr>
        <w:t>the formation of an open-ended Ministerial Committee of Ministers of Foreign Affairs;</w:t>
      </w:r>
    </w:p>
    <w:p>
      <w:pPr>
        <w:pStyle w:val="Style2"/>
        <w:keepNext w:val="0"/>
        <w:keepLines w:val="0"/>
        <w:widowControl w:val="0"/>
        <w:numPr>
          <w:ilvl w:val="0"/>
          <w:numId w:val="1"/>
        </w:numPr>
        <w:shd w:val="clear" w:color="auto" w:fill="auto"/>
        <w:tabs>
          <w:tab w:pos="1536" w:val="left"/>
        </w:tabs>
        <w:bidi w:val="0"/>
        <w:spacing w:before="0" w:after="280" w:line="240" w:lineRule="auto"/>
        <w:ind w:left="1540" w:right="0" w:hanging="700"/>
        <w:jc w:val="both"/>
      </w:pPr>
      <w:r>
        <w:rPr>
          <w:rStyle w:val="CharStyle3"/>
          <w:b/>
          <w:bCs/>
        </w:rPr>
        <w:t xml:space="preserve">REQUESTS </w:t>
      </w:r>
      <w:r>
        <w:rPr>
          <w:rStyle w:val="CharStyle3"/>
        </w:rPr>
        <w:t>the African Union Commission to continue implementing the Decision and in particular to write to the United Nations Security Council:</w:t>
      </w:r>
    </w:p>
    <w:p>
      <w:pPr>
        <w:pStyle w:val="Style2"/>
        <w:keepNext w:val="0"/>
        <w:keepLines w:val="0"/>
        <w:widowControl w:val="0"/>
        <w:numPr>
          <w:ilvl w:val="0"/>
          <w:numId w:val="5"/>
        </w:numPr>
        <w:shd w:val="clear" w:color="auto" w:fill="auto"/>
        <w:tabs>
          <w:tab w:pos="2108" w:val="left"/>
        </w:tabs>
        <w:bidi w:val="0"/>
        <w:spacing w:before="0" w:after="280" w:line="240" w:lineRule="auto"/>
        <w:ind w:left="2120" w:right="0" w:hanging="720"/>
        <w:jc w:val="both"/>
      </w:pPr>
      <w:r>
        <w:rPr>
          <w:rStyle w:val="CharStyle3"/>
        </w:rPr>
        <w:t>Informing of the African Union Heads of State and Government Decision of January 2015 and also requesting that decision be implemented;</w:t>
      </w:r>
    </w:p>
    <w:p>
      <w:pPr>
        <w:pStyle w:val="Style2"/>
        <w:keepNext w:val="0"/>
        <w:keepLines w:val="0"/>
        <w:widowControl w:val="0"/>
        <w:numPr>
          <w:ilvl w:val="0"/>
          <w:numId w:val="5"/>
        </w:numPr>
        <w:shd w:val="clear" w:color="auto" w:fill="auto"/>
        <w:tabs>
          <w:tab w:pos="2108" w:val="left"/>
        </w:tabs>
        <w:bidi w:val="0"/>
        <w:spacing w:before="0" w:after="280" w:line="233" w:lineRule="auto"/>
        <w:ind w:left="2120" w:right="0" w:hanging="720"/>
        <w:jc w:val="both"/>
      </w:pPr>
      <w:r>
        <w:rPr>
          <w:rStyle w:val="CharStyle3"/>
        </w:rPr>
        <w:t>Informing that the Committee of Ministers of Foreign Affairs intends to meet the UNSC to discuss and follow up on the matter.</w:t>
      </w:r>
    </w:p>
    <w:p>
      <w:pPr>
        <w:pStyle w:val="Style2"/>
        <w:keepNext w:val="0"/>
        <w:keepLines w:val="0"/>
        <w:widowControl w:val="0"/>
        <w:numPr>
          <w:ilvl w:val="0"/>
          <w:numId w:val="1"/>
        </w:numPr>
        <w:shd w:val="clear" w:color="auto" w:fill="auto"/>
        <w:tabs>
          <w:tab w:pos="1536" w:val="left"/>
        </w:tabs>
        <w:bidi w:val="0"/>
        <w:spacing w:before="0" w:after="280" w:line="240" w:lineRule="auto"/>
        <w:ind w:left="1540" w:right="0" w:hanging="700"/>
        <w:jc w:val="both"/>
      </w:pPr>
      <w:r>
        <w:rPr>
          <w:rStyle w:val="CharStyle3"/>
          <w:b/>
          <w:bCs/>
        </w:rPr>
        <w:t xml:space="preserve">REQUESTS </w:t>
      </w:r>
      <w:r>
        <w:rPr>
          <w:rStyle w:val="CharStyle3"/>
        </w:rPr>
        <w:t>that the African Union Commission join in the Application under Rule 68 by the Prosecutor of ICC against the Deputy President of the Republic of Kenya as an interested party for purposes of placing before the Court all the relevant material arising out of the negotiations;</w:t>
      </w:r>
    </w:p>
    <w:p>
      <w:pPr>
        <w:pStyle w:val="Style2"/>
        <w:keepNext w:val="0"/>
        <w:keepLines w:val="0"/>
        <w:widowControl w:val="0"/>
        <w:numPr>
          <w:ilvl w:val="0"/>
          <w:numId w:val="1"/>
        </w:numPr>
        <w:shd w:val="clear" w:color="auto" w:fill="auto"/>
        <w:tabs>
          <w:tab w:pos="1536" w:val="left"/>
        </w:tabs>
        <w:bidi w:val="0"/>
        <w:spacing w:before="0" w:after="280" w:line="233" w:lineRule="auto"/>
        <w:ind w:left="1540" w:right="0" w:hanging="700"/>
        <w:jc w:val="both"/>
      </w:pPr>
      <w:r>
        <w:rPr>
          <w:rStyle w:val="CharStyle3"/>
          <w:b/>
          <w:bCs/>
        </w:rPr>
        <w:t xml:space="preserve">RECOMMENDS </w:t>
      </w:r>
      <w:r>
        <w:rPr>
          <w:rStyle w:val="CharStyle3"/>
        </w:rPr>
        <w:t>that adequate financial resources be provided to the Commission and the open-ended Ministerial Committee to enable follow up activities for the implementation of this Decision.</w:t>
      </w:r>
    </w:p>
    <w:sectPr>
      <w:footnotePr>
        <w:pos w:val="pageBottom"/>
        <w:numFmt w:val="decimal"/>
        <w:numRestart w:val="continuous"/>
      </w:footnotePr>
      <w:pgSz w:w="12240" w:h="15840"/>
      <w:pgMar w:top="1312" w:right="742" w:bottom="1804" w:left="7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