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80" w:line="230" w:lineRule="auto"/>
        <w:ind w:left="0" w:right="0" w:firstLine="0"/>
        <w:jc w:val="center"/>
      </w:pPr>
      <w:bookmarkStart w:id="0" w:name="bookmark0"/>
      <w:r>
        <w:rPr>
          <w:rStyle w:val="CharStyle3"/>
          <w:b/>
          <w:bCs/>
        </w:rPr>
        <w:t>DECISION ON THE POST-2015 DEVELOPMENT AGENDA</w:t>
        <w:br/>
        <w:t>Doc. Assembly/AU/6(XXVI)</w:t>
      </w:r>
      <w:bookmarkEnd w:id="0"/>
    </w:p>
    <w:p>
      <w:pPr>
        <w:pStyle w:val="Style2"/>
        <w:keepNext/>
        <w:keepLines/>
        <w:widowControl w:val="0"/>
        <w:shd w:val="clear" w:color="auto" w:fill="auto"/>
        <w:bidi w:val="0"/>
        <w:spacing w:before="0" w:after="28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5"/>
          <w:b/>
          <w:bCs/>
        </w:rPr>
        <w:t xml:space="preserve">TAKES NOTE </w:t>
      </w:r>
      <w:r>
        <w:rPr>
          <w:rStyle w:val="CharStyle5"/>
        </w:rPr>
        <w:t>of the final Report of H.E Ellen Johnson Sirleaf, President of the Republic of Liberia and Chairperson of the High Level Committee (HLC) on the Post 2015 Development Agenda;</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RECALLS </w:t>
      </w:r>
      <w:r>
        <w:rPr>
          <w:rStyle w:val="CharStyle5"/>
        </w:rPr>
        <w:t>Decision Assembly/AU/Dec.475(XXI) adopted by the Thirty-First Ordinary Session of the Assembly in May 2013 that requested for the establishment of a High Level Committee (HLC) of Heads of State and Government to sensitize and coordinate the activities of African Leaders and members of the High Level Panel, and build regional and inter-continental alliances on the Common African Position on the post 2015 Development Agenda;</w:t>
      </w:r>
    </w:p>
    <w:p>
      <w:pPr>
        <w:pStyle w:val="Style4"/>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5"/>
          <w:b/>
          <w:bCs/>
        </w:rPr>
        <w:t xml:space="preserve">COMMENDS </w:t>
      </w:r>
      <w:r>
        <w:rPr>
          <w:rStyle w:val="CharStyle5"/>
        </w:rPr>
        <w:t>the leadership role of H.E. Ellen Johnson Sirleaf and the other members of the HLC as well as their respective Sherpas for the level of enthusiasm, responsiveness and commitment to the Post-2015 Development process;</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ALSO COMMENDS </w:t>
      </w:r>
      <w:r>
        <w:rPr>
          <w:rStyle w:val="CharStyle5"/>
        </w:rPr>
        <w:t>the coordinating role of the Commission, and the technical support of the Economic Commission for Africa (UNECA), the African Development Bank (AfDB), the United Nations Development Program (UNDP) Regional Bureau for Africa, and the United Nations Population Fund (UNFPA) in the entire process of the Post-2015 Development Agenda;</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WELCOMES </w:t>
      </w:r>
      <w:r>
        <w:rPr>
          <w:rStyle w:val="CharStyle5"/>
        </w:rPr>
        <w:t xml:space="preserve">the adoption of the new development agenda, titled: </w:t>
      </w:r>
      <w:r>
        <w:rPr>
          <w:rStyle w:val="CharStyle5"/>
          <w:i/>
          <w:iCs/>
        </w:rPr>
        <w:t>Transforming Our World: The 2030 Agenda for Sustainable Development and that of the Addis Ababa Action Agenda (AAAA),</w:t>
      </w:r>
      <w:r>
        <w:rPr>
          <w:rStyle w:val="CharStyle5"/>
        </w:rPr>
        <w:t xml:space="preserve"> which significantly captures Africa’s priority areas and are compatible with Agenda 2063;</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ALSO WELCOMES </w:t>
      </w:r>
      <w:r>
        <w:rPr>
          <w:rStyle w:val="CharStyle5"/>
        </w:rPr>
        <w:t>compatibility of the Sustainable Development Goals (SDGs) with Agenda 2063 First Ten Year Implementation Plan (FTYIP) and the synergies that will emanate from their implementation;</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COMMENDS </w:t>
      </w:r>
      <w:r>
        <w:rPr>
          <w:rStyle w:val="CharStyle5"/>
        </w:rPr>
        <w:t>African Statisticians for their active participation in the quantification and costing of Agenda 2063 and SDGs indicators to enable credible monitoring and evaluation process;</w:t>
      </w:r>
    </w:p>
    <w:p>
      <w:pPr>
        <w:pStyle w:val="Style4"/>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5"/>
          <w:b/>
          <w:bCs/>
        </w:rPr>
        <w:t xml:space="preserve">ENDORSES </w:t>
      </w:r>
      <w:r>
        <w:rPr>
          <w:rStyle w:val="CharStyle5"/>
        </w:rPr>
        <w:t>the on-going formulation of accountability framework by the Commission, in collaboration with NEPAD Planning and Coordination Agency (NPCA), UNECA and AfDB, in consultation with the Regional Economic Communities (RECs), which will cater for both Agenda 2063 and the SDGs concurrently;</w:t>
      </w:r>
    </w:p>
    <w:p>
      <w:pPr>
        <w:pStyle w:val="Style4"/>
        <w:keepNext w:val="0"/>
        <w:keepLines w:val="0"/>
        <w:widowControl w:val="0"/>
        <w:numPr>
          <w:ilvl w:val="0"/>
          <w:numId w:val="1"/>
        </w:numPr>
        <w:shd w:val="clear" w:color="auto" w:fill="auto"/>
        <w:tabs>
          <w:tab w:pos="710" w:val="left"/>
        </w:tabs>
        <w:bidi w:val="0"/>
        <w:spacing w:before="0" w:after="0" w:line="240" w:lineRule="auto"/>
        <w:ind w:left="0" w:right="0" w:firstLine="0"/>
        <w:jc w:val="left"/>
      </w:pPr>
      <w:r>
        <w:rPr>
          <w:rStyle w:val="CharStyle5"/>
          <w:b/>
          <w:bCs/>
        </w:rPr>
        <w:t xml:space="preserve">ALSO ENDORSES </w:t>
      </w:r>
      <w:r>
        <w:rPr>
          <w:rStyle w:val="CharStyle5"/>
        </w:rPr>
        <w:t>the required capacity building and technical support for</w:t>
      </w:r>
    </w:p>
    <w:p>
      <w:pPr>
        <w:pStyle w:val="Style4"/>
        <w:keepNext w:val="0"/>
        <w:keepLines w:val="0"/>
        <w:widowControl w:val="0"/>
        <w:shd w:val="clear" w:color="auto" w:fill="auto"/>
        <w:bidi w:val="0"/>
        <w:spacing w:before="0" w:after="0" w:line="240" w:lineRule="auto"/>
        <w:ind w:left="740" w:right="0" w:firstLine="0"/>
        <w:jc w:val="left"/>
      </w:pPr>
      <w:r>
        <w:rPr>
          <w:rStyle w:val="CharStyle5"/>
        </w:rPr>
        <w:t>Member States during the domestication and implementation process of Agenda 2063, which incorporates global Agenda 2030 and the SDGs.</w:t>
      </w:r>
    </w:p>
    <w:sectPr>
      <w:footnotePr>
        <w:pos w:val="pageBottom"/>
        <w:numFmt w:val="decimal"/>
        <w:numRestart w:val="continuous"/>
      </w:footnotePr>
      <w:pgSz w:w="11900" w:h="16840"/>
      <w:pgMar w:top="2023" w:right="708" w:bottom="2093" w:left="117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