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2017 THEME</w:t>
        <w:br/>
        <w:t>“HARNESSING DEMOGRAPHIC DIVIDEND THROUGH</w:t>
        <w:br/>
        <w:t>INVESTMENTS IN THE YOUTH”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33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 xml:space="preserve">the proposal by the Republic of Malawi to declare 2017 the year of </w:t>
      </w:r>
      <w:r>
        <w:rPr>
          <w:rStyle w:val="CharStyle3"/>
          <w:b/>
          <w:bCs/>
          <w:i/>
          <w:iCs/>
        </w:rPr>
        <w:t>“HARNESSING DEMOGRAPHIC DIVIDEND THROUGH INVESTMENTS IN THE YOUTH”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80" w:line="226" w:lineRule="auto"/>
        <w:ind w:left="740" w:right="0" w:hanging="74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take necessary measures to launch in January 2017 the theme of the year.</w:t>
      </w:r>
    </w:p>
    <w:sectPr>
      <w:footnotePr>
        <w:pos w:val="pageBottom"/>
        <w:numFmt w:val="decimal"/>
        <w:numRestart w:val="continuous"/>
      </w:footnotePr>
      <w:pgSz w:w="11900" w:h="16840"/>
      <w:pgMar w:top="2022" w:right="793" w:bottom="2073" w:left="10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MandoB</dc:creator>
  <cp:keywords/>
</cp:coreProperties>
</file>